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A43FD">
      <w:pPr>
        <w:spacing w:line="24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ins w:id="0" w:author="lenovo" w:date="2026-04-09T16:12:00Z">
        <w:r>
          <w:rPr>
            <w:rFonts w:ascii="黑体" w:hAnsi="黑体" w:eastAsia="黑体"/>
            <w:sz w:val="32"/>
            <w:szCs w:val="32"/>
          </w:rPr>
          <w:t>3</w:t>
        </w:r>
      </w:ins>
    </w:p>
    <w:p w14:paraId="30EF34D3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遵义医科大学</w:t>
      </w:r>
    </w:p>
    <w:p w14:paraId="63CA5C6A">
      <w:pPr>
        <w:spacing w:line="52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申请高等学校教师资格认定教育教学能力测试表</w:t>
      </w:r>
    </w:p>
    <w:p w14:paraId="65483F93">
      <w:pPr>
        <w:jc w:val="center"/>
        <w:rPr>
          <w:rFonts w:ascii="黑体" w:eastAsia="黑体"/>
          <w:b/>
          <w:sz w:val="36"/>
          <w:szCs w:val="36"/>
        </w:rPr>
      </w:pPr>
      <w:bookmarkStart w:id="0" w:name="_GoBack"/>
      <w:bookmarkEnd w:id="0"/>
    </w:p>
    <w:p w14:paraId="1FBBC7EA">
      <w:pPr>
        <w:adjustRightInd w:val="0"/>
        <w:snapToGrid w:val="0"/>
        <w:textAlignment w:val="baseline"/>
        <w:rPr>
          <w:rFonts w:ascii="仿宋_GB2312" w:eastAsia="仿宋_GB2312"/>
          <w:b/>
          <w:sz w:val="25"/>
          <w:u w:val="single"/>
        </w:rPr>
      </w:pPr>
      <w:r>
        <w:rPr>
          <w:rFonts w:hint="eastAsia" w:ascii="仿宋_GB2312" w:eastAsia="仿宋_GB2312"/>
          <w:b/>
          <w:sz w:val="25"/>
        </w:rPr>
        <w:t>被考核教师</w:t>
      </w:r>
      <w:r>
        <w:rPr>
          <w:rFonts w:ascii="仿宋_GB2312" w:eastAsia="仿宋_GB2312"/>
          <w:b/>
          <w:sz w:val="25"/>
        </w:rPr>
        <w:t>：</w:t>
      </w:r>
      <w:r>
        <w:rPr>
          <w:rFonts w:ascii="仿宋_GB2312" w:eastAsia="仿宋_GB2312"/>
          <w:b/>
          <w:sz w:val="25"/>
          <w:u w:val="single"/>
        </w:rPr>
        <w:t xml:space="preserve"> </w:t>
      </w:r>
      <w:r>
        <w:rPr>
          <w:rFonts w:hint="eastAsia" w:ascii="仿宋_GB2312" w:eastAsia="仿宋_GB2312"/>
          <w:b/>
          <w:sz w:val="25"/>
          <w:u w:val="single"/>
        </w:rPr>
        <w:t xml:space="preserve">        </w:t>
      </w:r>
      <w:r>
        <w:rPr>
          <w:rFonts w:hint="eastAsia" w:ascii="仿宋_GB2312" w:eastAsia="仿宋_GB2312"/>
          <w:b/>
          <w:sz w:val="25"/>
        </w:rPr>
        <w:t xml:space="preserve">   试讲内容</w:t>
      </w:r>
      <w:r>
        <w:rPr>
          <w:rFonts w:ascii="仿宋_GB2312" w:eastAsia="仿宋_GB2312"/>
          <w:b/>
          <w:sz w:val="25"/>
        </w:rPr>
        <w:t xml:space="preserve"> ：</w:t>
      </w:r>
      <w:r>
        <w:rPr>
          <w:rFonts w:hint="eastAsia" w:ascii="仿宋_GB2312" w:eastAsia="仿宋_GB2312"/>
          <w:b/>
          <w:sz w:val="25"/>
          <w:u w:val="single"/>
        </w:rPr>
        <w:t xml:space="preserve">                            </w:t>
      </w:r>
    </w:p>
    <w:p w14:paraId="01F129DD">
      <w:pPr>
        <w:adjustRightInd w:val="0"/>
        <w:snapToGrid w:val="0"/>
        <w:textAlignment w:val="baseline"/>
        <w:rPr>
          <w:sz w:val="10"/>
          <w:u w:val="single"/>
        </w:rPr>
      </w:pPr>
    </w:p>
    <w:p w14:paraId="1BDFAC33">
      <w:pPr>
        <w:adjustRightInd w:val="0"/>
        <w:snapToGrid w:val="0"/>
        <w:rPr>
          <w:rFonts w:ascii="仿宋_GB2312" w:eastAsia="仿宋_GB2312"/>
          <w:b/>
          <w:sz w:val="24"/>
          <w:u w:val="single"/>
        </w:rPr>
      </w:pPr>
      <w:r>
        <w:rPr>
          <w:rFonts w:ascii="仿宋_GB2312" w:eastAsia="仿宋_GB2312"/>
          <w:b/>
          <w:sz w:val="25"/>
        </w:rPr>
        <w:t>听 课 人：</w:t>
      </w:r>
      <w:r>
        <w:rPr>
          <w:rFonts w:ascii="仿宋_GB2312" w:eastAsia="仿宋_GB2312"/>
          <w:b/>
          <w:sz w:val="25"/>
          <w:u w:val="single"/>
        </w:rPr>
        <w:t xml:space="preserve"> </w:t>
      </w:r>
      <w:r>
        <w:rPr>
          <w:rFonts w:hint="eastAsia" w:ascii="仿宋_GB2312" w:eastAsia="仿宋_GB2312"/>
          <w:b/>
          <w:sz w:val="25"/>
          <w:u w:val="single"/>
        </w:rPr>
        <w:t xml:space="preserve">        </w:t>
      </w:r>
      <w:r>
        <w:rPr>
          <w:rFonts w:ascii="仿宋_GB2312" w:eastAsia="仿宋_GB2312"/>
          <w:b/>
          <w:sz w:val="25"/>
          <w:u w:val="single"/>
        </w:rPr>
        <w:t xml:space="preserve"> </w:t>
      </w:r>
      <w:r>
        <w:rPr>
          <w:rFonts w:hint="eastAsia" w:ascii="仿宋_GB2312" w:eastAsia="仿宋_GB2312"/>
          <w:b/>
          <w:sz w:val="25"/>
        </w:rPr>
        <w:t xml:space="preserve">   </w:t>
      </w:r>
      <w:r>
        <w:rPr>
          <w:rFonts w:ascii="仿宋_GB2312" w:eastAsia="仿宋_GB2312"/>
          <w:b/>
          <w:sz w:val="25"/>
        </w:rPr>
        <w:t>时间：</w:t>
      </w:r>
      <w:r>
        <w:rPr>
          <w:rFonts w:ascii="仿宋_GB2312" w:eastAsia="仿宋_GB2312"/>
          <w:b/>
          <w:sz w:val="25"/>
          <w:u w:val="single"/>
        </w:rPr>
        <w:t xml:space="preserve"> </w:t>
      </w:r>
      <w:r>
        <w:rPr>
          <w:rFonts w:hint="eastAsia" w:ascii="仿宋_GB2312" w:eastAsia="仿宋_GB2312"/>
          <w:b/>
          <w:sz w:val="25"/>
          <w:u w:val="single"/>
        </w:rPr>
        <w:t xml:space="preserve">    </w:t>
      </w:r>
      <w:r>
        <w:rPr>
          <w:rFonts w:ascii="仿宋_GB2312" w:eastAsia="仿宋_GB2312"/>
          <w:b/>
          <w:sz w:val="25"/>
        </w:rPr>
        <w:t>年</w:t>
      </w:r>
      <w:r>
        <w:rPr>
          <w:rFonts w:ascii="仿宋_GB2312" w:eastAsia="仿宋_GB2312"/>
          <w:b/>
          <w:sz w:val="25"/>
          <w:u w:val="single"/>
        </w:rPr>
        <w:t xml:space="preserve"> </w:t>
      </w:r>
      <w:r>
        <w:rPr>
          <w:rFonts w:hint="eastAsia" w:ascii="仿宋_GB2312" w:eastAsia="仿宋_GB2312"/>
          <w:b/>
          <w:sz w:val="25"/>
          <w:u w:val="single"/>
        </w:rPr>
        <w:t xml:space="preserve">   </w:t>
      </w:r>
      <w:r>
        <w:rPr>
          <w:rFonts w:ascii="仿宋_GB2312" w:eastAsia="仿宋_GB2312"/>
          <w:b/>
          <w:sz w:val="25"/>
        </w:rPr>
        <w:t>月</w:t>
      </w:r>
      <w:r>
        <w:rPr>
          <w:rFonts w:hint="eastAsia" w:ascii="仿宋_GB2312" w:eastAsia="仿宋_GB2312"/>
          <w:b/>
          <w:sz w:val="25"/>
          <w:u w:val="single"/>
        </w:rPr>
        <w:t xml:space="preserve">    </w:t>
      </w:r>
      <w:r>
        <w:rPr>
          <w:rFonts w:ascii="仿宋_GB2312" w:eastAsia="仿宋_GB2312"/>
          <w:b/>
          <w:sz w:val="25"/>
        </w:rPr>
        <w:t>日</w:t>
      </w:r>
      <w:r>
        <w:rPr>
          <w:rFonts w:hint="eastAsia" w:ascii="仿宋_GB2312" w:eastAsia="仿宋_GB2312"/>
          <w:b/>
          <w:sz w:val="25"/>
        </w:rPr>
        <w:t xml:space="preserve">     </w:t>
      </w:r>
      <w:r>
        <w:rPr>
          <w:rFonts w:ascii="仿宋_GB2312" w:eastAsia="仿宋_GB2312"/>
          <w:b/>
          <w:sz w:val="25"/>
        </w:rPr>
        <w:t>地点</w:t>
      </w:r>
      <w:r>
        <w:rPr>
          <w:rFonts w:hint="eastAsia" w:ascii="仿宋_GB2312" w:eastAsia="仿宋_GB2312"/>
          <w:b/>
          <w:sz w:val="25"/>
        </w:rPr>
        <w:t>：</w:t>
      </w:r>
      <w:r>
        <w:rPr>
          <w:rFonts w:hint="eastAsia" w:ascii="仿宋_GB2312" w:eastAsia="仿宋_GB2312"/>
          <w:b/>
          <w:sz w:val="25"/>
          <w:u w:val="single"/>
        </w:rPr>
        <w:t xml:space="preserve">      </w:t>
      </w:r>
      <w:r>
        <w:rPr>
          <w:rFonts w:hint="eastAsia" w:ascii="仿宋_GB2312" w:eastAsia="仿宋_GB2312"/>
          <w:b/>
          <w:sz w:val="24"/>
          <w:u w:val="single"/>
        </w:rPr>
        <w:t xml:space="preserve"> </w:t>
      </w:r>
    </w:p>
    <w:p w14:paraId="6EDDDABF">
      <w:pPr>
        <w:adjustRightInd w:val="0"/>
        <w:snapToGrid w:val="0"/>
        <w:rPr>
          <w:rFonts w:ascii="仿宋_GB2312" w:eastAsia="仿宋_GB2312"/>
          <w:b/>
          <w:sz w:val="24"/>
          <w:u w:val="single"/>
        </w:rPr>
      </w:pPr>
    </w:p>
    <w:tbl>
      <w:tblPr>
        <w:tblStyle w:val="5"/>
        <w:tblW w:w="9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483"/>
        <w:gridCol w:w="5834"/>
        <w:gridCol w:w="2105"/>
      </w:tblGrid>
      <w:tr w14:paraId="33B11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395" w:type="dxa"/>
            <w:gridSpan w:val="2"/>
            <w:vAlign w:val="center"/>
          </w:tcPr>
          <w:p w14:paraId="501DC76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序</w:t>
            </w:r>
            <w:r>
              <w:rPr>
                <w:rFonts w:ascii="仿宋_GB2312" w:eastAsia="仿宋_GB2312"/>
                <w:b/>
                <w:color w:val="000000"/>
                <w:u w:color="000000"/>
              </w:rPr>
              <w:t xml:space="preserve"> </w:t>
            </w: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号</w:t>
            </w:r>
          </w:p>
        </w:tc>
        <w:tc>
          <w:tcPr>
            <w:tcW w:w="5834" w:type="dxa"/>
            <w:vAlign w:val="center"/>
          </w:tcPr>
          <w:p w14:paraId="2177713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标</w:t>
            </w:r>
            <w:r>
              <w:rPr>
                <w:rFonts w:ascii="仿宋_GB2312" w:eastAsia="仿宋_GB2312"/>
                <w:b/>
                <w:color w:val="000000"/>
                <w:u w:color="000000"/>
              </w:rPr>
              <w:t xml:space="preserve">  </w:t>
            </w: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准</w:t>
            </w:r>
          </w:p>
        </w:tc>
        <w:tc>
          <w:tcPr>
            <w:tcW w:w="2105" w:type="dxa"/>
            <w:vAlign w:val="center"/>
          </w:tcPr>
          <w:p w14:paraId="7E3E362B">
            <w:pPr>
              <w:rPr>
                <w:rFonts w:ascii="仿宋_GB2312" w:eastAsia="仿宋_GB2312"/>
                <w:b/>
                <w:color w:val="000000"/>
                <w:u w:color="000000"/>
              </w:rPr>
            </w:pP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总分（满分</w:t>
            </w:r>
            <w:r>
              <w:rPr>
                <w:rFonts w:ascii="仿宋_GB2312" w:eastAsia="仿宋_GB2312"/>
                <w:b/>
                <w:color w:val="000000"/>
                <w:u w:color="000000"/>
              </w:rPr>
              <w:t>100</w:t>
            </w: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分，</w:t>
            </w:r>
            <w:r>
              <w:rPr>
                <w:rFonts w:ascii="仿宋_GB2312" w:eastAsia="仿宋_GB2312"/>
                <w:b/>
                <w:color w:val="000000"/>
                <w:u w:color="000000"/>
              </w:rPr>
              <w:t>80</w:t>
            </w: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分以上为合格，</w:t>
            </w:r>
            <w:r>
              <w:rPr>
                <w:rFonts w:ascii="仿宋_GB2312" w:eastAsia="仿宋_GB2312"/>
                <w:b/>
                <w:color w:val="000000"/>
                <w:u w:color="000000"/>
              </w:rPr>
              <w:t>80</w:t>
            </w:r>
            <w:r>
              <w:rPr>
                <w:rFonts w:hint="eastAsia" w:ascii="仿宋_GB2312" w:eastAsia="仿宋_GB2312"/>
                <w:b/>
                <w:color w:val="000000"/>
                <w:u w:color="000000"/>
              </w:rPr>
              <w:t>分以下不合格）</w:t>
            </w:r>
          </w:p>
        </w:tc>
      </w:tr>
      <w:tr w14:paraId="3521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12" w:type="dxa"/>
            <w:vMerge w:val="restart"/>
            <w:vAlign w:val="center"/>
          </w:tcPr>
          <w:p w14:paraId="2C3A1212">
            <w:pPr>
              <w:adjustRightInd w:val="0"/>
              <w:snapToGrid w:val="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教学</w:t>
            </w:r>
          </w:p>
          <w:p w14:paraId="4AD40DC3">
            <w:pPr>
              <w:adjustRightInd w:val="0"/>
              <w:snapToGrid w:val="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态度</w:t>
            </w:r>
          </w:p>
          <w:p w14:paraId="4420C7C8">
            <w:pPr>
              <w:adjustRightInd w:val="0"/>
              <w:snapToGrid w:val="0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20</w:t>
            </w:r>
            <w:r>
              <w:rPr>
                <w:rFonts w:hint="eastAsia" w:ascii="仿宋_GB2312" w:eastAsia="仿宋_GB2312"/>
                <w:b/>
                <w:bCs/>
              </w:rPr>
              <w:t>分</w:t>
            </w:r>
          </w:p>
        </w:tc>
        <w:tc>
          <w:tcPr>
            <w:tcW w:w="483" w:type="dxa"/>
            <w:vAlign w:val="center"/>
          </w:tcPr>
          <w:p w14:paraId="389D2A9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  <w:b/>
                <w:color w:val="000000"/>
                <w:u w:color="000000"/>
              </w:rPr>
              <w:t>1</w:t>
            </w:r>
          </w:p>
        </w:tc>
        <w:tc>
          <w:tcPr>
            <w:tcW w:w="5834" w:type="dxa"/>
            <w:vAlign w:val="center"/>
          </w:tcPr>
          <w:p w14:paraId="00786C2E">
            <w:pPr>
              <w:jc w:val="left"/>
              <w:rPr>
                <w:rFonts w:ascii="仿宋_GB2312" w:eastAsia="仿宋_GB2312"/>
                <w:color w:val="000000"/>
                <w:u w:color="000000"/>
              </w:rPr>
            </w:pPr>
            <w:r>
              <w:rPr>
                <w:rFonts w:hint="eastAsia" w:ascii="仿宋_GB2312" w:eastAsia="仿宋_GB2312"/>
                <w:color w:val="000000"/>
                <w:u w:color="000000"/>
              </w:rPr>
              <w:t>热爱党的教育事业，坚持立德树人根本任务，在品德、作风、言行、举止等方面为人师表</w:t>
            </w:r>
          </w:p>
        </w:tc>
        <w:tc>
          <w:tcPr>
            <w:tcW w:w="2105" w:type="dxa"/>
            <w:vMerge w:val="restart"/>
            <w:vAlign w:val="center"/>
          </w:tcPr>
          <w:p w14:paraId="26DADB75">
            <w:pPr>
              <w:jc w:val="left"/>
              <w:rPr>
                <w:rFonts w:ascii="仿宋_GB2312" w:eastAsia="仿宋_GB2312"/>
              </w:rPr>
            </w:pPr>
          </w:p>
        </w:tc>
      </w:tr>
      <w:tr w14:paraId="02433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12" w:type="dxa"/>
            <w:vMerge w:val="continue"/>
            <w:vAlign w:val="center"/>
          </w:tcPr>
          <w:p w14:paraId="6ECAC174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483" w:type="dxa"/>
            <w:vAlign w:val="center"/>
          </w:tcPr>
          <w:p w14:paraId="736C805A">
            <w:pPr>
              <w:jc w:val="center"/>
              <w:rPr>
                <w:rFonts w:ascii="仿宋_GB2312" w:eastAsia="仿宋_GB2312"/>
                <w:b/>
                <w:color w:val="000000"/>
                <w:u w:color="000000"/>
              </w:rPr>
            </w:pPr>
            <w:r>
              <w:rPr>
                <w:rFonts w:ascii="仿宋_GB2312" w:eastAsia="仿宋_GB2312"/>
                <w:b/>
                <w:color w:val="000000"/>
                <w:u w:color="000000"/>
              </w:rPr>
              <w:t>2</w:t>
            </w:r>
          </w:p>
        </w:tc>
        <w:tc>
          <w:tcPr>
            <w:tcW w:w="5834" w:type="dxa"/>
            <w:vAlign w:val="center"/>
          </w:tcPr>
          <w:p w14:paraId="2484F302">
            <w:pPr>
              <w:jc w:val="left"/>
              <w:rPr>
                <w:rFonts w:ascii="仿宋_GB2312" w:eastAsia="仿宋_GB2312"/>
                <w:color w:val="000000"/>
                <w:u w:color="000000"/>
              </w:rPr>
            </w:pPr>
            <w:r>
              <w:rPr>
                <w:rFonts w:hint="eastAsia" w:ascii="仿宋_GB2312" w:eastAsia="仿宋_GB2312"/>
                <w:color w:val="000000"/>
                <w:u w:color="000000"/>
              </w:rPr>
              <w:t>衣冠整洁得体，仪表端庄，精神饱满，教态自然，具有教学热情和进取精神</w:t>
            </w:r>
          </w:p>
        </w:tc>
        <w:tc>
          <w:tcPr>
            <w:tcW w:w="2105" w:type="dxa"/>
            <w:vMerge w:val="continue"/>
            <w:vAlign w:val="center"/>
          </w:tcPr>
          <w:p w14:paraId="1B6B6660">
            <w:pPr>
              <w:jc w:val="left"/>
              <w:rPr>
                <w:rFonts w:ascii="仿宋_GB2312" w:eastAsia="仿宋_GB2312"/>
              </w:rPr>
            </w:pPr>
          </w:p>
        </w:tc>
      </w:tr>
      <w:tr w14:paraId="47821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912" w:type="dxa"/>
            <w:vMerge w:val="restart"/>
            <w:vAlign w:val="center"/>
          </w:tcPr>
          <w:p w14:paraId="66D8EB37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教学</w:t>
            </w:r>
          </w:p>
          <w:p w14:paraId="2AC493F8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能力</w:t>
            </w:r>
          </w:p>
          <w:p w14:paraId="526D6CA8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20</w:t>
            </w:r>
            <w:r>
              <w:rPr>
                <w:rFonts w:hint="eastAsia" w:ascii="仿宋_GB2312" w:eastAsia="仿宋_GB2312"/>
                <w:b/>
                <w:bCs/>
              </w:rPr>
              <w:t>分</w:t>
            </w:r>
          </w:p>
        </w:tc>
        <w:tc>
          <w:tcPr>
            <w:tcW w:w="483" w:type="dxa"/>
            <w:vAlign w:val="center"/>
          </w:tcPr>
          <w:p w14:paraId="4AEE4185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3</w:t>
            </w:r>
          </w:p>
        </w:tc>
        <w:tc>
          <w:tcPr>
            <w:tcW w:w="5834" w:type="dxa"/>
            <w:vAlign w:val="center"/>
          </w:tcPr>
          <w:p w14:paraId="31547903">
            <w:pPr>
              <w:tabs>
                <w:tab w:val="left" w:pos="1791"/>
              </w:tabs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u w:color="000000"/>
              </w:rPr>
              <w:t>备课充分、教案讲稿准备充分</w:t>
            </w:r>
          </w:p>
        </w:tc>
        <w:tc>
          <w:tcPr>
            <w:tcW w:w="2105" w:type="dxa"/>
            <w:vMerge w:val="continue"/>
            <w:vAlign w:val="center"/>
          </w:tcPr>
          <w:p w14:paraId="10B33EEF">
            <w:pPr>
              <w:rPr>
                <w:rFonts w:ascii="仿宋_GB2312" w:eastAsia="仿宋_GB2312"/>
              </w:rPr>
            </w:pPr>
          </w:p>
        </w:tc>
      </w:tr>
      <w:tr w14:paraId="204DD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912" w:type="dxa"/>
            <w:vMerge w:val="continue"/>
            <w:vAlign w:val="center"/>
          </w:tcPr>
          <w:p w14:paraId="65D17B1D">
            <w:pPr>
              <w:rPr>
                <w:rFonts w:ascii="仿宋_GB2312" w:eastAsia="仿宋_GB2312"/>
              </w:rPr>
            </w:pPr>
          </w:p>
        </w:tc>
        <w:tc>
          <w:tcPr>
            <w:tcW w:w="483" w:type="dxa"/>
            <w:vAlign w:val="center"/>
          </w:tcPr>
          <w:p w14:paraId="306CED24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4</w:t>
            </w:r>
          </w:p>
        </w:tc>
        <w:tc>
          <w:tcPr>
            <w:tcW w:w="5834" w:type="dxa"/>
            <w:vAlign w:val="center"/>
          </w:tcPr>
          <w:p w14:paraId="5DD23D3E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教态自然、大方</w:t>
            </w:r>
          </w:p>
        </w:tc>
        <w:tc>
          <w:tcPr>
            <w:tcW w:w="2105" w:type="dxa"/>
            <w:vMerge w:val="continue"/>
            <w:vAlign w:val="center"/>
          </w:tcPr>
          <w:p w14:paraId="65845215">
            <w:pPr>
              <w:rPr>
                <w:rFonts w:ascii="仿宋_GB2312" w:eastAsia="仿宋_GB2312"/>
              </w:rPr>
            </w:pPr>
          </w:p>
        </w:tc>
      </w:tr>
      <w:tr w14:paraId="2C067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912" w:type="dxa"/>
            <w:vMerge w:val="continue"/>
            <w:vAlign w:val="center"/>
          </w:tcPr>
          <w:p w14:paraId="648A0301">
            <w:pPr>
              <w:rPr>
                <w:rFonts w:ascii="仿宋_GB2312" w:eastAsia="仿宋_GB2312"/>
              </w:rPr>
            </w:pPr>
          </w:p>
        </w:tc>
        <w:tc>
          <w:tcPr>
            <w:tcW w:w="483" w:type="dxa"/>
            <w:vAlign w:val="center"/>
          </w:tcPr>
          <w:p w14:paraId="1DA22331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5</w:t>
            </w:r>
          </w:p>
        </w:tc>
        <w:tc>
          <w:tcPr>
            <w:tcW w:w="5834" w:type="dxa"/>
            <w:vAlign w:val="center"/>
          </w:tcPr>
          <w:p w14:paraId="702CE2DE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u w:color="000000"/>
              </w:rPr>
              <w:t>内容充实、条理清楚、概念准确</w:t>
            </w:r>
          </w:p>
        </w:tc>
        <w:tc>
          <w:tcPr>
            <w:tcW w:w="2105" w:type="dxa"/>
            <w:vMerge w:val="continue"/>
            <w:vAlign w:val="center"/>
          </w:tcPr>
          <w:p w14:paraId="05085736">
            <w:pPr>
              <w:jc w:val="left"/>
              <w:rPr>
                <w:rFonts w:ascii="仿宋_GB2312" w:eastAsia="仿宋_GB2312"/>
              </w:rPr>
            </w:pPr>
          </w:p>
        </w:tc>
      </w:tr>
      <w:tr w14:paraId="341ED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" w:hRule="atLeast"/>
          <w:jc w:val="center"/>
        </w:trPr>
        <w:tc>
          <w:tcPr>
            <w:tcW w:w="912" w:type="dxa"/>
            <w:vMerge w:val="continue"/>
            <w:vAlign w:val="center"/>
          </w:tcPr>
          <w:p w14:paraId="0E08A710">
            <w:pPr>
              <w:rPr>
                <w:rFonts w:ascii="仿宋_GB2312" w:eastAsia="仿宋_GB2312"/>
              </w:rPr>
            </w:pPr>
          </w:p>
        </w:tc>
        <w:tc>
          <w:tcPr>
            <w:tcW w:w="483" w:type="dxa"/>
            <w:vAlign w:val="center"/>
          </w:tcPr>
          <w:p w14:paraId="7CFDDB10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6</w:t>
            </w:r>
          </w:p>
        </w:tc>
        <w:tc>
          <w:tcPr>
            <w:tcW w:w="5834" w:type="dxa"/>
            <w:vAlign w:val="center"/>
          </w:tcPr>
          <w:p w14:paraId="31C9F53E">
            <w:pPr>
              <w:tabs>
                <w:tab w:val="left" w:pos="1791"/>
              </w:tabs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u w:color="000000"/>
              </w:rPr>
              <w:t>教学重难点突出、难点解析准确</w:t>
            </w:r>
          </w:p>
        </w:tc>
        <w:tc>
          <w:tcPr>
            <w:tcW w:w="2105" w:type="dxa"/>
            <w:vMerge w:val="continue"/>
            <w:vAlign w:val="center"/>
          </w:tcPr>
          <w:p w14:paraId="2BD20BE3">
            <w:pPr>
              <w:jc w:val="left"/>
              <w:rPr>
                <w:rFonts w:ascii="仿宋_GB2312" w:eastAsia="仿宋_GB2312"/>
              </w:rPr>
            </w:pPr>
          </w:p>
        </w:tc>
      </w:tr>
      <w:tr w14:paraId="31AE8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" w:hRule="atLeast"/>
          <w:jc w:val="center"/>
        </w:trPr>
        <w:tc>
          <w:tcPr>
            <w:tcW w:w="912" w:type="dxa"/>
            <w:vMerge w:val="restart"/>
            <w:vAlign w:val="center"/>
          </w:tcPr>
          <w:p w14:paraId="1F47E912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教学</w:t>
            </w:r>
          </w:p>
          <w:p w14:paraId="24C5197A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内容</w:t>
            </w:r>
          </w:p>
          <w:p w14:paraId="386F312A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20</w:t>
            </w:r>
            <w:r>
              <w:rPr>
                <w:rFonts w:hint="eastAsia" w:ascii="仿宋_GB2312" w:eastAsia="仿宋_GB2312"/>
                <w:b/>
                <w:bCs/>
              </w:rPr>
              <w:t>分</w:t>
            </w:r>
          </w:p>
        </w:tc>
        <w:tc>
          <w:tcPr>
            <w:tcW w:w="483" w:type="dxa"/>
            <w:vAlign w:val="center"/>
          </w:tcPr>
          <w:p w14:paraId="1CBDFBEA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7</w:t>
            </w:r>
          </w:p>
        </w:tc>
        <w:tc>
          <w:tcPr>
            <w:tcW w:w="5834" w:type="dxa"/>
            <w:vAlign w:val="center"/>
          </w:tcPr>
          <w:p w14:paraId="3F7609D0">
            <w:pPr>
              <w:tabs>
                <w:tab w:val="left" w:pos="1791"/>
              </w:tabs>
              <w:jc w:val="left"/>
              <w:rPr>
                <w:rFonts w:ascii="仿宋_GB2312" w:eastAsia="仿宋_GB2312"/>
                <w:color w:val="000000"/>
                <w:u w:color="000000"/>
              </w:rPr>
            </w:pPr>
            <w:r>
              <w:rPr>
                <w:rFonts w:hint="eastAsia" w:ascii="仿宋_GB2312" w:eastAsia="仿宋_GB2312"/>
                <w:color w:val="000000"/>
                <w:u w:color="000000"/>
              </w:rPr>
              <w:t>内容科学，系统严密，条理清晰，逻辑性强，体现专业教育教学的特点</w:t>
            </w:r>
          </w:p>
        </w:tc>
        <w:tc>
          <w:tcPr>
            <w:tcW w:w="2105" w:type="dxa"/>
            <w:vMerge w:val="continue"/>
            <w:vAlign w:val="center"/>
          </w:tcPr>
          <w:p w14:paraId="2E63472E">
            <w:pPr>
              <w:jc w:val="left"/>
              <w:rPr>
                <w:rFonts w:ascii="仿宋_GB2312" w:eastAsia="仿宋_GB2312"/>
              </w:rPr>
            </w:pPr>
          </w:p>
        </w:tc>
      </w:tr>
      <w:tr w14:paraId="6EFF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" w:hRule="atLeast"/>
          <w:jc w:val="center"/>
        </w:trPr>
        <w:tc>
          <w:tcPr>
            <w:tcW w:w="912" w:type="dxa"/>
            <w:vMerge w:val="continue"/>
            <w:vAlign w:val="center"/>
          </w:tcPr>
          <w:p w14:paraId="0FBD3973">
            <w:pPr>
              <w:rPr>
                <w:rFonts w:ascii="仿宋_GB2312" w:eastAsia="仿宋_GB2312"/>
              </w:rPr>
            </w:pPr>
          </w:p>
        </w:tc>
        <w:tc>
          <w:tcPr>
            <w:tcW w:w="483" w:type="dxa"/>
            <w:vAlign w:val="center"/>
          </w:tcPr>
          <w:p w14:paraId="6951AEE4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8</w:t>
            </w:r>
          </w:p>
        </w:tc>
        <w:tc>
          <w:tcPr>
            <w:tcW w:w="5834" w:type="dxa"/>
            <w:vAlign w:val="center"/>
          </w:tcPr>
          <w:p w14:paraId="7DAF50EB">
            <w:pPr>
              <w:tabs>
                <w:tab w:val="left" w:pos="1791"/>
              </w:tabs>
              <w:jc w:val="left"/>
              <w:rPr>
                <w:rFonts w:ascii="仿宋_GB2312" w:eastAsia="仿宋_GB2312"/>
                <w:color w:val="000000"/>
                <w:u w:color="000000"/>
              </w:rPr>
            </w:pPr>
            <w:r>
              <w:rPr>
                <w:rFonts w:hint="eastAsia" w:ascii="仿宋_GB2312" w:eastAsia="仿宋_GB2312"/>
                <w:color w:val="000000"/>
                <w:u w:color="000000"/>
              </w:rPr>
              <w:t>注重学生综合素质的培养，充分展现课程思政内容，结合教学实际，渗透科学精神、人文精神、医者精神和职业道德等</w:t>
            </w:r>
          </w:p>
        </w:tc>
        <w:tc>
          <w:tcPr>
            <w:tcW w:w="2105" w:type="dxa"/>
            <w:vMerge w:val="continue"/>
            <w:vAlign w:val="center"/>
          </w:tcPr>
          <w:p w14:paraId="49C03D62">
            <w:pPr>
              <w:jc w:val="left"/>
              <w:rPr>
                <w:rFonts w:ascii="仿宋_GB2312" w:eastAsia="仿宋_GB2312"/>
              </w:rPr>
            </w:pPr>
          </w:p>
        </w:tc>
      </w:tr>
      <w:tr w14:paraId="25F8E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912" w:type="dxa"/>
            <w:vMerge w:val="restart"/>
            <w:vAlign w:val="center"/>
          </w:tcPr>
          <w:p w14:paraId="62EBE508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教学</w:t>
            </w:r>
          </w:p>
          <w:p w14:paraId="0EBE47F0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方法</w:t>
            </w:r>
          </w:p>
          <w:p w14:paraId="34DA8879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20</w:t>
            </w:r>
            <w:r>
              <w:rPr>
                <w:rFonts w:hint="eastAsia" w:ascii="仿宋_GB2312" w:eastAsia="仿宋_GB2312"/>
                <w:b/>
                <w:bCs/>
              </w:rPr>
              <w:t>分</w:t>
            </w:r>
          </w:p>
        </w:tc>
        <w:tc>
          <w:tcPr>
            <w:tcW w:w="483" w:type="dxa"/>
            <w:vAlign w:val="center"/>
          </w:tcPr>
          <w:p w14:paraId="3EB24BF8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9</w:t>
            </w:r>
          </w:p>
        </w:tc>
        <w:tc>
          <w:tcPr>
            <w:tcW w:w="5834" w:type="dxa"/>
            <w:vAlign w:val="center"/>
          </w:tcPr>
          <w:p w14:paraId="591943E8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注重启发引导和相关学科内容的关联、互补，培养思维能力、创新精神</w:t>
            </w:r>
          </w:p>
        </w:tc>
        <w:tc>
          <w:tcPr>
            <w:tcW w:w="2105" w:type="dxa"/>
            <w:vMerge w:val="continue"/>
            <w:vAlign w:val="center"/>
          </w:tcPr>
          <w:p w14:paraId="394EFAD1">
            <w:pPr>
              <w:jc w:val="left"/>
              <w:rPr>
                <w:rFonts w:ascii="仿宋_GB2312" w:eastAsia="仿宋_GB2312"/>
              </w:rPr>
            </w:pPr>
          </w:p>
        </w:tc>
      </w:tr>
      <w:tr w14:paraId="02F63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912" w:type="dxa"/>
            <w:vMerge w:val="continue"/>
            <w:vAlign w:val="center"/>
          </w:tcPr>
          <w:p w14:paraId="59D354E7">
            <w:pPr>
              <w:rPr>
                <w:rFonts w:ascii="仿宋_GB2312" w:eastAsia="仿宋_GB2312"/>
              </w:rPr>
            </w:pPr>
          </w:p>
        </w:tc>
        <w:tc>
          <w:tcPr>
            <w:tcW w:w="483" w:type="dxa"/>
            <w:vAlign w:val="center"/>
          </w:tcPr>
          <w:p w14:paraId="1B6D0C9E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10</w:t>
            </w:r>
          </w:p>
        </w:tc>
        <w:tc>
          <w:tcPr>
            <w:tcW w:w="5834" w:type="dxa"/>
            <w:vAlign w:val="center"/>
          </w:tcPr>
          <w:p w14:paraId="4189D60D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根据学科特点和学生专业因材施教，指导学习方法，引导学生自主学习</w:t>
            </w:r>
          </w:p>
        </w:tc>
        <w:tc>
          <w:tcPr>
            <w:tcW w:w="2105" w:type="dxa"/>
            <w:vMerge w:val="continue"/>
            <w:vAlign w:val="center"/>
          </w:tcPr>
          <w:p w14:paraId="5FE58397">
            <w:pPr>
              <w:rPr>
                <w:rFonts w:ascii="仿宋_GB2312" w:eastAsia="仿宋_GB2312"/>
              </w:rPr>
            </w:pPr>
          </w:p>
        </w:tc>
      </w:tr>
      <w:tr w14:paraId="4E89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912" w:type="dxa"/>
            <w:vMerge w:val="continue"/>
            <w:vAlign w:val="center"/>
          </w:tcPr>
          <w:p w14:paraId="3A36301B">
            <w:pPr>
              <w:rPr>
                <w:rFonts w:ascii="仿宋_GB2312" w:eastAsia="仿宋_GB2312"/>
              </w:rPr>
            </w:pPr>
          </w:p>
        </w:tc>
        <w:tc>
          <w:tcPr>
            <w:tcW w:w="483" w:type="dxa"/>
            <w:vAlign w:val="center"/>
          </w:tcPr>
          <w:p w14:paraId="4BE04D8F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11</w:t>
            </w:r>
          </w:p>
        </w:tc>
        <w:tc>
          <w:tcPr>
            <w:tcW w:w="5834" w:type="dxa"/>
            <w:vAlign w:val="center"/>
          </w:tcPr>
          <w:p w14:paraId="770C37F2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教学方法灵活多样，启发性强，能激发学生的求知欲，有效促进教学目标的实现</w:t>
            </w:r>
          </w:p>
        </w:tc>
        <w:tc>
          <w:tcPr>
            <w:tcW w:w="2105" w:type="dxa"/>
            <w:vMerge w:val="continue"/>
            <w:vAlign w:val="center"/>
          </w:tcPr>
          <w:p w14:paraId="2ACB2651">
            <w:pPr>
              <w:rPr>
                <w:rFonts w:ascii="仿宋_GB2312" w:eastAsia="仿宋_GB2312"/>
              </w:rPr>
            </w:pPr>
          </w:p>
        </w:tc>
      </w:tr>
      <w:tr w14:paraId="686FA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912" w:type="dxa"/>
            <w:vMerge w:val="restart"/>
            <w:vAlign w:val="center"/>
          </w:tcPr>
          <w:p w14:paraId="1559579F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教学</w:t>
            </w:r>
          </w:p>
          <w:p w14:paraId="1F833413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效果</w:t>
            </w:r>
          </w:p>
          <w:p w14:paraId="0771710E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20</w:t>
            </w:r>
            <w:r>
              <w:rPr>
                <w:rFonts w:hint="eastAsia" w:ascii="仿宋_GB2312" w:eastAsia="仿宋_GB2312"/>
                <w:b/>
                <w:bCs/>
              </w:rPr>
              <w:t>分</w:t>
            </w:r>
          </w:p>
        </w:tc>
        <w:tc>
          <w:tcPr>
            <w:tcW w:w="483" w:type="dxa"/>
            <w:vAlign w:val="center"/>
          </w:tcPr>
          <w:p w14:paraId="260AE9C0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12</w:t>
            </w:r>
          </w:p>
        </w:tc>
        <w:tc>
          <w:tcPr>
            <w:tcW w:w="5834" w:type="dxa"/>
            <w:vAlign w:val="center"/>
          </w:tcPr>
          <w:p w14:paraId="0BB61F0E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课堂语言和活动与教学形式相适应，能充分利用自主学习机会</w:t>
            </w:r>
          </w:p>
        </w:tc>
        <w:tc>
          <w:tcPr>
            <w:tcW w:w="2105" w:type="dxa"/>
            <w:vMerge w:val="continue"/>
            <w:vAlign w:val="center"/>
          </w:tcPr>
          <w:p w14:paraId="64D20751">
            <w:pPr>
              <w:rPr>
                <w:rFonts w:ascii="仿宋_GB2312" w:eastAsia="仿宋_GB2312"/>
              </w:rPr>
            </w:pPr>
          </w:p>
        </w:tc>
      </w:tr>
      <w:tr w14:paraId="23E0F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912" w:type="dxa"/>
            <w:vMerge w:val="continue"/>
            <w:vAlign w:val="center"/>
          </w:tcPr>
          <w:p w14:paraId="1E6E94F7">
            <w:pPr>
              <w:rPr>
                <w:rFonts w:ascii="仿宋_GB2312" w:eastAsia="仿宋_GB2312"/>
              </w:rPr>
            </w:pPr>
          </w:p>
        </w:tc>
        <w:tc>
          <w:tcPr>
            <w:tcW w:w="483" w:type="dxa"/>
            <w:vAlign w:val="center"/>
          </w:tcPr>
          <w:p w14:paraId="1355931D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/>
                <w:b/>
                <w:bCs/>
              </w:rPr>
              <w:t>13</w:t>
            </w:r>
          </w:p>
        </w:tc>
        <w:tc>
          <w:tcPr>
            <w:tcW w:w="5834" w:type="dxa"/>
            <w:vAlign w:val="center"/>
          </w:tcPr>
          <w:p w14:paraId="54F968AB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授课过程中，能调动学生积极思考教学内容，对教学能经常做出积极响应，充分体现课堂主体性</w:t>
            </w:r>
          </w:p>
        </w:tc>
        <w:tc>
          <w:tcPr>
            <w:tcW w:w="2105" w:type="dxa"/>
            <w:vMerge w:val="continue"/>
            <w:vAlign w:val="center"/>
          </w:tcPr>
          <w:p w14:paraId="7F315D9B">
            <w:pPr>
              <w:rPr>
                <w:rFonts w:ascii="仿宋_GB2312" w:eastAsia="仿宋_GB2312"/>
              </w:rPr>
            </w:pPr>
          </w:p>
        </w:tc>
      </w:tr>
      <w:tr w14:paraId="2F4A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7" w:hRule="atLeast"/>
          <w:jc w:val="center"/>
        </w:trPr>
        <w:tc>
          <w:tcPr>
            <w:tcW w:w="1395" w:type="dxa"/>
            <w:gridSpan w:val="2"/>
            <w:vAlign w:val="center"/>
          </w:tcPr>
          <w:p w14:paraId="093C96C1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评论与结果</w:t>
            </w:r>
          </w:p>
        </w:tc>
        <w:tc>
          <w:tcPr>
            <w:tcW w:w="7939" w:type="dxa"/>
            <w:gridSpan w:val="2"/>
            <w:vAlign w:val="center"/>
          </w:tcPr>
          <w:p w14:paraId="74703018">
            <w:pPr>
              <w:snapToGrid w:val="0"/>
              <w:spacing w:line="283" w:lineRule="atLeast"/>
              <w:textAlignment w:val="baseline"/>
              <w:rPr>
                <w:rFonts w:ascii="仿宋_GB2312" w:eastAsia="仿宋_GB2312"/>
              </w:rPr>
            </w:pPr>
          </w:p>
          <w:p w14:paraId="0EF1FB96">
            <w:pPr>
              <w:snapToGrid w:val="0"/>
              <w:spacing w:line="240" w:lineRule="exact"/>
              <w:textAlignment w:val="baseline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                                                 </w:t>
            </w:r>
          </w:p>
          <w:p w14:paraId="744D6E80">
            <w:pPr>
              <w:snapToGrid w:val="0"/>
              <w:spacing w:line="240" w:lineRule="exact"/>
              <w:textAlignment w:val="baseline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    </w:t>
            </w:r>
          </w:p>
          <w:p w14:paraId="59950981">
            <w:pPr>
              <w:snapToGrid w:val="0"/>
              <w:spacing w:line="240" w:lineRule="exact"/>
              <w:textAlignment w:val="baseline"/>
              <w:rPr>
                <w:rFonts w:ascii="仿宋_GB2312" w:eastAsia="仿宋_GB2312"/>
              </w:rPr>
            </w:pPr>
          </w:p>
          <w:p w14:paraId="459A6E02">
            <w:pPr>
              <w:snapToGrid w:val="0"/>
              <w:spacing w:line="240" w:lineRule="exact"/>
              <w:textAlignment w:val="baseline"/>
              <w:rPr>
                <w:rFonts w:ascii="仿宋_GB2312" w:eastAsia="仿宋_GB2312"/>
                <w:b/>
                <w:bCs/>
                <w:sz w:val="22"/>
                <w:szCs w:val="24"/>
              </w:rPr>
            </w:pPr>
            <w:r>
              <w:rPr>
                <w:rFonts w:ascii="仿宋_GB2312" w:eastAsia="仿宋_GB2312"/>
              </w:rPr>
              <w:t xml:space="preserve">                                          </w:t>
            </w:r>
            <w:r>
              <w:rPr>
                <w:rFonts w:ascii="仿宋_GB2312" w:eastAsia="仿宋_GB2312"/>
                <w:sz w:val="22"/>
                <w:szCs w:val="24"/>
              </w:rPr>
              <w:t xml:space="preserve">                  </w:t>
            </w:r>
            <w:r>
              <w:rPr>
                <w:rFonts w:hint="eastAsia" w:ascii="仿宋_GB2312" w:eastAsia="仿宋_GB2312"/>
                <w:b/>
                <w:bCs/>
                <w:sz w:val="24"/>
                <w:szCs w:val="28"/>
              </w:rPr>
              <w:t>盖  章</w:t>
            </w:r>
          </w:p>
          <w:p w14:paraId="507B1BE4">
            <w:pPr>
              <w:snapToGrid w:val="0"/>
              <w:spacing w:line="240" w:lineRule="exact"/>
              <w:ind w:firstLine="6264" w:firstLineChars="2600"/>
              <w:textAlignment w:val="baseline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8"/>
              </w:rPr>
              <w:t>年</w:t>
            </w:r>
            <w:r>
              <w:rPr>
                <w:rFonts w:ascii="仿宋_GB2312" w:eastAsia="仿宋_GB2312"/>
                <w:b/>
                <w:bCs/>
                <w:sz w:val="24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b/>
                <w:bCs/>
                <w:sz w:val="24"/>
                <w:szCs w:val="28"/>
              </w:rPr>
              <w:t>月</w:t>
            </w:r>
            <w:r>
              <w:rPr>
                <w:rFonts w:ascii="仿宋_GB2312" w:eastAsia="仿宋_GB2312"/>
                <w:b/>
                <w:bCs/>
                <w:sz w:val="24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b/>
                <w:bCs/>
                <w:sz w:val="24"/>
                <w:szCs w:val="28"/>
              </w:rPr>
              <w:t>日</w:t>
            </w:r>
          </w:p>
          <w:p w14:paraId="1DE9D984">
            <w:pPr>
              <w:snapToGrid w:val="0"/>
              <w:spacing w:line="283" w:lineRule="atLeast"/>
              <w:textAlignment w:val="baseline"/>
              <w:rPr>
                <w:rFonts w:ascii="仿宋_GB2312" w:eastAsia="仿宋_GB2312"/>
              </w:rPr>
            </w:pPr>
          </w:p>
        </w:tc>
      </w:tr>
    </w:tbl>
    <w:p w14:paraId="50BA409B">
      <w:pPr>
        <w:jc w:val="left"/>
        <w:rPr>
          <w:rFonts w:ascii="黑体" w:eastAsia="黑体"/>
          <w:b/>
          <w:sz w:val="36"/>
          <w:szCs w:val="36"/>
        </w:rPr>
      </w:pPr>
    </w:p>
    <w:sectPr>
      <w:pgSz w:w="11906" w:h="16838"/>
      <w:pgMar w:top="1417" w:right="1800" w:bottom="141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ODdkODBmMTRmYTAyOTE0OTY1YWFjYWMyYTFiMmEifQ=="/>
  </w:docVars>
  <w:rsids>
    <w:rsidRoot w:val="00472ED8"/>
    <w:rsid w:val="00014535"/>
    <w:rsid w:val="00172E78"/>
    <w:rsid w:val="002B2E17"/>
    <w:rsid w:val="00472ED8"/>
    <w:rsid w:val="00507121"/>
    <w:rsid w:val="00567091"/>
    <w:rsid w:val="0075044E"/>
    <w:rsid w:val="008941A3"/>
    <w:rsid w:val="00A632E1"/>
    <w:rsid w:val="00A63AFE"/>
    <w:rsid w:val="00B37009"/>
    <w:rsid w:val="00D5550D"/>
    <w:rsid w:val="00EB7E58"/>
    <w:rsid w:val="00EC3639"/>
    <w:rsid w:val="02FC6355"/>
    <w:rsid w:val="05104339"/>
    <w:rsid w:val="08144141"/>
    <w:rsid w:val="0AA7129C"/>
    <w:rsid w:val="0F0547E3"/>
    <w:rsid w:val="0FA20284"/>
    <w:rsid w:val="101E3DAE"/>
    <w:rsid w:val="110E5BD1"/>
    <w:rsid w:val="128A572B"/>
    <w:rsid w:val="130D010A"/>
    <w:rsid w:val="17214184"/>
    <w:rsid w:val="1C362A73"/>
    <w:rsid w:val="1F792DAF"/>
    <w:rsid w:val="1FE75FF1"/>
    <w:rsid w:val="208F03B0"/>
    <w:rsid w:val="2188552B"/>
    <w:rsid w:val="231F3C6E"/>
    <w:rsid w:val="237B54A5"/>
    <w:rsid w:val="23A3664D"/>
    <w:rsid w:val="26233A75"/>
    <w:rsid w:val="288F5BFD"/>
    <w:rsid w:val="29976977"/>
    <w:rsid w:val="2AA1140C"/>
    <w:rsid w:val="2B996587"/>
    <w:rsid w:val="2C6E17C2"/>
    <w:rsid w:val="2D2C76B3"/>
    <w:rsid w:val="2EA22C40"/>
    <w:rsid w:val="3227669B"/>
    <w:rsid w:val="33BC72B7"/>
    <w:rsid w:val="369E35DF"/>
    <w:rsid w:val="38037FE4"/>
    <w:rsid w:val="38123949"/>
    <w:rsid w:val="3B9528C7"/>
    <w:rsid w:val="3C9963E7"/>
    <w:rsid w:val="3EAB2402"/>
    <w:rsid w:val="415C79DA"/>
    <w:rsid w:val="41737BCF"/>
    <w:rsid w:val="43F32881"/>
    <w:rsid w:val="441B3B85"/>
    <w:rsid w:val="451A208F"/>
    <w:rsid w:val="475736B9"/>
    <w:rsid w:val="49B605D8"/>
    <w:rsid w:val="4AAA69F5"/>
    <w:rsid w:val="4B215F25"/>
    <w:rsid w:val="4DA92202"/>
    <w:rsid w:val="4F90367A"/>
    <w:rsid w:val="51D41A3A"/>
    <w:rsid w:val="54120B01"/>
    <w:rsid w:val="59A246D5"/>
    <w:rsid w:val="5C981DBF"/>
    <w:rsid w:val="5EA7453C"/>
    <w:rsid w:val="5FA8056B"/>
    <w:rsid w:val="6028345A"/>
    <w:rsid w:val="64874C76"/>
    <w:rsid w:val="65051FBC"/>
    <w:rsid w:val="684828EC"/>
    <w:rsid w:val="69034A64"/>
    <w:rsid w:val="69236EB5"/>
    <w:rsid w:val="6F2C59F4"/>
    <w:rsid w:val="72141A90"/>
    <w:rsid w:val="735465E8"/>
    <w:rsid w:val="744228E5"/>
    <w:rsid w:val="7C914409"/>
    <w:rsid w:val="7DFC1D56"/>
    <w:rsid w:val="7EA0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504</Words>
  <Characters>517</Characters>
  <Lines>5</Lines>
  <Paragraphs>1</Paragraphs>
  <TotalTime>11</TotalTime>
  <ScaleCrop>false</ScaleCrop>
  <LinksUpToDate>false</LinksUpToDate>
  <CharactersWithSpaces>722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绮绮巴坨</cp:lastModifiedBy>
  <dcterms:modified xsi:type="dcterms:W3CDTF">2026-10-09T01:37:48Z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680F2B310E0C48D4AF97FD9B31BB4529_13</vt:lpwstr>
  </property>
  <property fmtid="{D5CDD505-2E9C-101B-9397-08002B2CF9AE}" pid="4" name="commondata">
    <vt:lpwstr>eyJoZGlkIjoiYjFhOTVlZTE5MGFkZmJlZjczNDYzMDNhYmMxMTY2YmMifQ==</vt:lpwstr>
  </property>
  <property fmtid="{D5CDD505-2E9C-101B-9397-08002B2CF9AE}" pid="5" name="KSOTemplateDocerSaveRecord">
    <vt:lpwstr>eyJoZGlkIjoiMDg1ZmE1MGVjOTdiYzI4MGY5MTdhNjIzNmI3ZGE0NjYiLCJ1c2VySWQiOiIyMzUyMTEzMTMifQ==</vt:lpwstr>
  </property>
</Properties>
</file>