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29432"/>
      <w:bookmarkStart w:id="1" w:name="_Toc438132321"/>
      <w:bookmarkStart w:id="2" w:name="_Toc430867917"/>
      <w:bookmarkStart w:id="3" w:name="_Toc431195362"/>
      <w:bookmarkStart w:id="4" w:name="_Toc446944053"/>
      <w:bookmarkStart w:id="5" w:name="_Toc409192623"/>
      <w:bookmarkStart w:id="6" w:name="_Toc456086365"/>
      <w:bookmarkStart w:id="7" w:name="_Toc409193449"/>
      <w:bookmarkStart w:id="8" w:name="_Toc409425101"/>
      <w:bookmarkStart w:id="9" w:name="_Toc409189801"/>
      <w:bookmarkStart w:id="10" w:name="_Toc413685992"/>
      <w:bookmarkStart w:id="11" w:name="_Toc8021"/>
      <w:bookmarkStart w:id="12" w:name="_Toc446943624"/>
      <w:bookmarkStart w:id="13" w:name="_Toc438137159"/>
      <w:bookmarkStart w:id="14" w:name="_Toc439852594"/>
      <w:bookmarkStart w:id="15" w:name="_Toc413679810"/>
      <w:bookmarkStart w:id="16" w:name="_Toc469316947"/>
      <w:bookmarkStart w:id="17" w:name="_Toc468721588"/>
      <w:bookmarkStart w:id="18" w:name="_Toc409193567"/>
      <w:bookmarkStart w:id="19" w:name="_Toc409189910"/>
      <w:bookmarkStart w:id="20" w:name="_Toc17077"/>
      <w:bookmarkStart w:id="21" w:name="_Toc457464664"/>
      <w:bookmarkStart w:id="22" w:name="_Toc435688983"/>
      <w:bookmarkStart w:id="23" w:name="_Toc463772483"/>
      <w:bookmarkStart w:id="24" w:name="_Toc6605"/>
      <w:bookmarkStart w:id="25" w:name="_Toc438131407"/>
      <w:bookmarkStart w:id="26" w:name="_Toc409192309"/>
      <w:bookmarkStart w:id="27" w:name="_Toc435625957"/>
      <w:bookmarkStart w:id="28" w:name="_Toc441071193"/>
      <w:bookmarkStart w:id="29" w:name="_Toc451249795"/>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院内议价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8"/>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8"/>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39852596"/>
      <w:bookmarkStart w:id="31" w:name="_Toc409425103"/>
      <w:bookmarkStart w:id="32" w:name="_Toc456086367"/>
      <w:bookmarkStart w:id="33" w:name="_Toc435688985"/>
      <w:bookmarkStart w:id="34" w:name="_Toc409189912"/>
      <w:bookmarkStart w:id="35" w:name="_Toc446943626"/>
      <w:bookmarkStart w:id="36" w:name="_Toc438132323"/>
      <w:bookmarkStart w:id="37" w:name="_Toc409189803"/>
      <w:bookmarkStart w:id="38" w:name="_Toc409192625"/>
      <w:bookmarkStart w:id="39" w:name="_Toc14433"/>
      <w:bookmarkStart w:id="40" w:name="_Toc438131409"/>
      <w:bookmarkStart w:id="41" w:name="_Toc435625959"/>
      <w:bookmarkStart w:id="42" w:name="_Toc409192311"/>
      <w:bookmarkStart w:id="43" w:name="_Toc446944055"/>
      <w:bookmarkStart w:id="44" w:name="_Toc30923"/>
      <w:bookmarkStart w:id="45" w:name="_Toc468721590"/>
      <w:bookmarkStart w:id="46" w:name="_Toc451249797"/>
      <w:bookmarkStart w:id="47" w:name="_Toc469316949"/>
      <w:bookmarkStart w:id="48" w:name="_Toc430867919"/>
      <w:bookmarkStart w:id="49" w:name="_Toc438137161"/>
      <w:bookmarkStart w:id="50" w:name="_Toc409193569"/>
      <w:bookmarkStart w:id="51" w:name="_Toc413679812"/>
      <w:bookmarkStart w:id="52" w:name="_Toc431195364"/>
      <w:bookmarkStart w:id="53" w:name="_Toc441071195"/>
      <w:bookmarkStart w:id="54" w:name="_Toc409193451"/>
      <w:bookmarkStart w:id="55" w:name="_Toc413685994"/>
      <w:r>
        <w:rPr>
          <w:rFonts w:hint="eastAsia" w:ascii="仿宋" w:hAnsi="仿宋" w:eastAsia="仿宋" w:cs="仿宋"/>
          <w:b/>
          <w:bCs/>
          <w:sz w:val="32"/>
          <w:szCs w:val="21"/>
          <w:lang w:val="en-US" w:eastAsia="zh-CN"/>
        </w:rPr>
        <w:t>CGB26048-HQ02</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eastAsia="zh-CN"/>
        </w:rPr>
        <w:t>遵义医科大学第二附属医院医疗设备机房施工图设计服务项目（</w:t>
      </w:r>
      <w:r>
        <w:rPr>
          <w:rFonts w:hint="eastAsia" w:ascii="仿宋" w:hAnsi="仿宋" w:eastAsia="仿宋" w:cs="仿宋"/>
          <w:b/>
          <w:bCs/>
          <w:sz w:val="32"/>
          <w:szCs w:val="21"/>
          <w:lang w:val="en-US" w:eastAsia="zh-CN"/>
        </w:rPr>
        <w:t>二次</w:t>
      </w:r>
      <w:r>
        <w:rPr>
          <w:rFonts w:hint="eastAsia" w:ascii="仿宋" w:hAnsi="仿宋" w:eastAsia="仿宋" w:cs="仿宋"/>
          <w:b/>
          <w:bCs/>
          <w:sz w:val="32"/>
          <w:szCs w:val="21"/>
          <w:lang w:eastAsia="zh-CN"/>
        </w:rPr>
        <w:t>）</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39852597"/>
      <w:bookmarkStart w:id="57" w:name="_Toc468721592"/>
      <w:bookmarkStart w:id="58" w:name="_Toc438131410"/>
      <w:bookmarkStart w:id="59" w:name="_Toc413679813"/>
      <w:bookmarkStart w:id="60" w:name="_Toc441071196"/>
      <w:bookmarkStart w:id="61" w:name="_Toc431195365"/>
      <w:bookmarkStart w:id="62" w:name="_Toc409192626"/>
      <w:bookmarkStart w:id="63" w:name="_Toc409189913"/>
      <w:bookmarkStart w:id="64" w:name="_Toc28553"/>
      <w:bookmarkStart w:id="65" w:name="_Toc469316950"/>
      <w:bookmarkStart w:id="66" w:name="_Toc409193570"/>
      <w:bookmarkStart w:id="67" w:name="_Toc457464667"/>
      <w:bookmarkStart w:id="68" w:name="_Toc463772486"/>
      <w:bookmarkStart w:id="69" w:name="_Toc430867920"/>
      <w:bookmarkStart w:id="70" w:name="_Toc24913"/>
      <w:bookmarkStart w:id="71" w:name="_Toc446943627"/>
      <w:bookmarkStart w:id="72" w:name="_Toc18970"/>
      <w:bookmarkStart w:id="73" w:name="_Toc435688986"/>
      <w:bookmarkStart w:id="74" w:name="_Toc446944056"/>
      <w:bookmarkStart w:id="75" w:name="_Toc409189804"/>
      <w:bookmarkStart w:id="76" w:name="_Toc409192312"/>
      <w:bookmarkStart w:id="77" w:name="_Toc456086368"/>
      <w:bookmarkStart w:id="78" w:name="_Toc409193452"/>
      <w:bookmarkStart w:id="79" w:name="_Toc438137162"/>
      <w:bookmarkStart w:id="80" w:name="_Toc435625960"/>
      <w:bookmarkStart w:id="81" w:name="_Toc438132324"/>
      <w:bookmarkStart w:id="82" w:name="_Toc413685995"/>
      <w:bookmarkStart w:id="83" w:name="_Toc409425104"/>
      <w:bookmarkStart w:id="84" w:name="_Toc451249798"/>
      <w:bookmarkStart w:id="85" w:name="_Toc1654"/>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月</w:t>
      </w:r>
    </w:p>
    <w:p w14:paraId="414309A9">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院内议价</w:t>
      </w:r>
      <w:r>
        <w:rPr>
          <w:rFonts w:hint="eastAsia" w:ascii="Calibri" w:hAnsi="Calibri" w:eastAsia="方正小标宋简体"/>
          <w:b w:val="0"/>
          <w:bCs w:val="0"/>
          <w:kern w:val="2"/>
          <w:szCs w:val="22"/>
        </w:rPr>
        <w:t>公告</w:t>
      </w:r>
    </w:p>
    <w:p w14:paraId="31046DC5">
      <w:pPr>
        <w:pStyle w:val="26"/>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遵义医科大学第二附属医院医疗设备机房施工图设计服务项目</w:t>
      </w:r>
      <w:r>
        <w:rPr>
          <w:rFonts w:hint="eastAsia" w:ascii="仿宋" w:hAnsi="仿宋" w:eastAsia="仿宋"/>
          <w:bCs/>
          <w:szCs w:val="21"/>
        </w:rPr>
        <w:t>进行</w:t>
      </w:r>
      <w:r>
        <w:rPr>
          <w:rFonts w:hint="eastAsia" w:ascii="仿宋" w:hAnsi="仿宋" w:eastAsia="仿宋"/>
          <w:bCs/>
          <w:szCs w:val="21"/>
          <w:lang w:val="en-US" w:eastAsia="zh-CN"/>
        </w:rPr>
        <w:t>院内议价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5"/>
        <w:numPr>
          <w:ilvl w:val="1"/>
          <w:numId w:val="0"/>
        </w:numPr>
        <w:spacing w:line="240" w:lineRule="auto"/>
        <w:ind w:firstLine="643" w:firstLineChars="200"/>
        <w:rPr>
          <w:rFonts w:hint="eastAsia" w:ascii="仿宋" w:hAnsi="仿宋" w:eastAsia="仿宋" w:cs="仿宋"/>
        </w:rPr>
      </w:pPr>
      <w:bookmarkStart w:id="86" w:name="_Toc19382"/>
      <w:bookmarkStart w:id="87" w:name="_Toc4151"/>
      <w:bookmarkStart w:id="88" w:name="_Toc31147"/>
      <w:bookmarkStart w:id="89" w:name="_Toc21187"/>
      <w:bookmarkStart w:id="90" w:name="_Toc27777"/>
      <w:bookmarkStart w:id="91" w:name="_Toc12648"/>
      <w:bookmarkStart w:id="92" w:name="_Toc300"/>
      <w:bookmarkStart w:id="93" w:name="_Toc13459"/>
      <w:bookmarkStart w:id="94" w:name="_Toc6030"/>
      <w:bookmarkStart w:id="95" w:name="_Toc24008"/>
      <w:bookmarkStart w:id="96" w:name="_Toc17693"/>
      <w:bookmarkStart w:id="97" w:name="_Toc25986"/>
      <w:bookmarkStart w:id="98" w:name="_Toc699"/>
      <w:bookmarkStart w:id="99" w:name="_Toc21981"/>
      <w:bookmarkStart w:id="100" w:name="_Toc16873"/>
      <w:bookmarkStart w:id="101" w:name="_Toc17044"/>
      <w:bookmarkStart w:id="102" w:name="_Toc8199"/>
      <w:bookmarkStart w:id="103" w:name="_Toc63600402"/>
      <w:bookmarkStart w:id="104" w:name="_Toc394390667"/>
      <w:bookmarkStart w:id="105" w:name="_Toc8852"/>
      <w:bookmarkStart w:id="106" w:name="_Toc496021253"/>
      <w:bookmarkStart w:id="107" w:name="_Toc20489863"/>
      <w:bookmarkStart w:id="108" w:name="_Toc22359"/>
      <w:bookmarkStart w:id="109" w:name="_Toc32327"/>
      <w:bookmarkStart w:id="110" w:name="_Toc24517"/>
      <w:bookmarkStart w:id="111" w:name="_Toc27084"/>
      <w:bookmarkStart w:id="112" w:name="_Toc13074"/>
      <w:bookmarkStart w:id="113" w:name="_Toc409189608"/>
      <w:bookmarkStart w:id="114" w:name="_Toc20488307"/>
      <w:bookmarkStart w:id="115" w:name="_Toc220"/>
      <w:bookmarkStart w:id="116" w:name="_Toc1159"/>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2678"/>
        <w:gridCol w:w="1227"/>
        <w:gridCol w:w="1276"/>
        <w:gridCol w:w="1741"/>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26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3BA9B0EA">
            <w:pPr>
              <w:snapToGrid w:val="0"/>
              <w:ind w:left="0" w:leftChars="0" w:right="0" w:rightChars="0" w:firstLine="0" w:firstLineChars="0"/>
              <w:jc w:val="center"/>
              <w:rPr>
                <w:rFonts w:hint="eastAsia" w:ascii="仿宋" w:hAnsi="仿宋" w:eastAsia="仿宋"/>
                <w:b/>
                <w:szCs w:val="21"/>
                <w:lang w:val="en-US" w:eastAsia="zh-CN"/>
              </w:rPr>
            </w:pPr>
            <w:r>
              <w:rPr>
                <w:rFonts w:hint="eastAsia" w:ascii="仿宋" w:hAnsi="仿宋" w:eastAsia="仿宋"/>
                <w:b/>
                <w:szCs w:val="21"/>
                <w:lang w:val="en-US" w:eastAsia="zh-CN"/>
              </w:rPr>
              <w:t>拦标金额</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主要服务内容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CGB26048-HQ02</w:t>
            </w:r>
          </w:p>
        </w:tc>
        <w:tc>
          <w:tcPr>
            <w:tcW w:w="2678"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遵义医科大学第二附属医院医疗设备机房施工图设计服务项目（</w:t>
            </w:r>
            <w:r>
              <w:rPr>
                <w:rFonts w:hint="eastAsia" w:ascii="仿宋" w:hAnsi="仿宋" w:eastAsia="仿宋"/>
                <w:bCs/>
                <w:sz w:val="21"/>
                <w:szCs w:val="21"/>
                <w:lang w:val="en-US" w:eastAsia="zh-CN"/>
              </w:rPr>
              <w:t>二次</w:t>
            </w:r>
            <w:bookmarkStart w:id="197" w:name="_GoBack"/>
            <w:bookmarkEnd w:id="197"/>
            <w:r>
              <w:rPr>
                <w:rFonts w:hint="eastAsia" w:ascii="仿宋" w:hAnsi="仿宋" w:eastAsia="仿宋"/>
                <w:bCs/>
                <w:sz w:val="21"/>
                <w:szCs w:val="21"/>
                <w:lang w:eastAsia="zh-CN"/>
              </w:rPr>
              <w:t>）</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8"/>
              <w:snapToGrid w:val="0"/>
              <w:spacing w:line="240" w:lineRule="auto"/>
              <w:ind w:left="0" w:leftChars="0" w:right="0" w:rightChars="0" w:firstLine="0" w:firstLineChars="0"/>
              <w:jc w:val="center"/>
              <w:rPr>
                <w:rFonts w:hint="default" w:ascii="仿宋" w:eastAsia="仿宋"/>
                <w:sz w:val="21"/>
                <w:lang w:val="en-US" w:eastAsia="zh-CN"/>
              </w:rPr>
            </w:pPr>
            <w:r>
              <w:rPr>
                <w:rFonts w:hint="eastAsia" w:ascii="仿宋" w:hAnsi="仿宋" w:eastAsia="仿宋"/>
                <w:bCs/>
                <w:sz w:val="21"/>
                <w:szCs w:val="21"/>
                <w:lang w:val="en-US" w:eastAsia="zh-CN"/>
              </w:rPr>
              <w:t>1万</w:t>
            </w:r>
            <w:r>
              <w:rPr>
                <w:rFonts w:hint="eastAsia" w:ascii="仿宋" w:hAnsi="仿宋" w:eastAsia="仿宋"/>
                <w:bCs/>
                <w:sz w:val="21"/>
                <w:szCs w:val="21"/>
              </w:rPr>
              <w:t>元</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C4D95B5">
            <w:pPr>
              <w:pStyle w:val="18"/>
              <w:snapToGrid w:val="0"/>
              <w:spacing w:line="240" w:lineRule="auto"/>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1万元</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8"/>
              <w:snapToGrid w:val="0"/>
              <w:spacing w:line="240" w:lineRule="auto"/>
              <w:ind w:left="0" w:leftChars="0" w:right="0" w:rightChars="0" w:firstLine="0" w:firstLineChars="0"/>
              <w:jc w:val="left"/>
              <w:rPr>
                <w:rFonts w:hint="default" w:ascii="仿宋" w:hAnsi="仿宋" w:eastAsia="仿宋"/>
                <w:bCs/>
                <w:sz w:val="21"/>
                <w:szCs w:val="21"/>
                <w:lang w:val="en-US" w:eastAsia="zh-CN"/>
              </w:rPr>
            </w:pPr>
            <w:r>
              <w:rPr>
                <w:rFonts w:hint="eastAsia" w:ascii="仿宋" w:hAnsi="仿宋" w:eastAsia="仿宋"/>
                <w:bCs/>
                <w:sz w:val="21"/>
                <w:szCs w:val="21"/>
                <w:lang w:val="en-US" w:eastAsia="zh-CN"/>
              </w:rPr>
              <w:t>肿瘤放射治疗科直线加速器机房、CT模拟定位机机房、模拟定位机机房施工图设计</w:t>
            </w:r>
          </w:p>
        </w:tc>
      </w:tr>
    </w:tbl>
    <w:p w14:paraId="4829DE65">
      <w:pPr>
        <w:pStyle w:val="5"/>
        <w:numPr>
          <w:ilvl w:val="1"/>
          <w:numId w:val="0"/>
        </w:numPr>
        <w:spacing w:line="240" w:lineRule="auto"/>
        <w:ind w:firstLine="643" w:firstLineChars="200"/>
        <w:rPr>
          <w:rFonts w:hint="eastAsia" w:ascii="仿宋" w:hAnsi="仿宋" w:eastAsia="仿宋" w:cs="仿宋"/>
        </w:rPr>
      </w:pPr>
      <w:bookmarkStart w:id="117" w:name="_Toc20489864"/>
      <w:bookmarkStart w:id="118" w:name="_Toc6424"/>
      <w:bookmarkStart w:id="119" w:name="_Toc11495"/>
      <w:bookmarkStart w:id="120" w:name="_Toc29997"/>
      <w:bookmarkStart w:id="121" w:name="_Toc409189609"/>
      <w:bookmarkStart w:id="122" w:name="_Toc20488308"/>
      <w:bookmarkStart w:id="123" w:name="_Toc63600403"/>
      <w:bookmarkStart w:id="124" w:name="_Toc25311"/>
      <w:bookmarkStart w:id="125" w:name="_Toc16865"/>
      <w:bookmarkStart w:id="126" w:name="_Toc17723"/>
      <w:bookmarkStart w:id="127" w:name="_Toc29050"/>
      <w:bookmarkStart w:id="128" w:name="_Toc10431"/>
      <w:bookmarkStart w:id="129" w:name="_Toc15913"/>
      <w:bookmarkStart w:id="130" w:name="_Toc8351"/>
      <w:bookmarkStart w:id="131" w:name="_Toc24064"/>
      <w:bookmarkStart w:id="132" w:name="_Toc26914"/>
      <w:bookmarkStart w:id="133" w:name="_Toc23440"/>
      <w:bookmarkStart w:id="134" w:name="_Toc18928"/>
      <w:bookmarkStart w:id="135" w:name="_Toc9073"/>
      <w:bookmarkStart w:id="136" w:name="_Toc22093"/>
      <w:bookmarkStart w:id="137" w:name="_Toc394390668"/>
      <w:bookmarkStart w:id="138" w:name="_Toc2270"/>
      <w:bookmarkStart w:id="139" w:name="_Toc23555"/>
      <w:bookmarkStart w:id="140" w:name="_Toc1969"/>
      <w:bookmarkStart w:id="141" w:name="_Toc9115"/>
      <w:bookmarkStart w:id="142" w:name="_Toc21449"/>
      <w:bookmarkStart w:id="143" w:name="_Toc3033"/>
      <w:bookmarkStart w:id="144" w:name="_Toc23509"/>
      <w:bookmarkStart w:id="145" w:name="_Toc25078"/>
      <w:bookmarkStart w:id="146" w:name="_Toc17506"/>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394390669"/>
      <w:bookmarkStart w:id="148" w:name="_Toc409189610"/>
      <w:bookmarkStart w:id="149" w:name="_Toc1203"/>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5"/>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5727A50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AB4D4B6">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（二）特殊资格要求</w:t>
      </w:r>
    </w:p>
    <w:p w14:paraId="201DAE59">
      <w:pPr>
        <w:widowControl w:val="0"/>
        <w:spacing w:before="0" w:beforeAutospacing="0" w:after="0" w:afterAutospacing="0" w:line="240" w:lineRule="auto"/>
        <w:ind w:right="0" w:firstLine="480" w:firstLineChars="200"/>
        <w:jc w:val="both"/>
        <w:rPr>
          <w:rFonts w:hint="eastAsia" w:ascii="仿宋" w:hAnsi="仿宋" w:eastAsia="仿宋" w:cs="仿宋"/>
          <w:color w:val="auto"/>
          <w:kern w:val="2"/>
          <w:sz w:val="24"/>
          <w:szCs w:val="22"/>
          <w:lang w:val="en-US" w:eastAsia="zh-CN" w:bidi="ar-SA"/>
        </w:rPr>
      </w:pPr>
      <w:bookmarkStart w:id="150" w:name="_Toc25412"/>
      <w:r>
        <w:rPr>
          <w:rFonts w:hint="eastAsia" w:ascii="仿宋" w:hAnsi="仿宋" w:eastAsia="仿宋" w:cs="仿宋"/>
          <w:color w:val="auto"/>
          <w:kern w:val="2"/>
          <w:sz w:val="24"/>
          <w:szCs w:val="22"/>
          <w:lang w:val="en-US" w:eastAsia="zh-CN" w:bidi="ar-SA"/>
        </w:rPr>
        <w:t>1.工程设计建筑行业（建筑工程）乙级及以上资质。</w:t>
      </w:r>
    </w:p>
    <w:p w14:paraId="2E18A6CC">
      <w:pPr>
        <w:pStyle w:val="2"/>
        <w:rPr>
          <w:rFonts w:hint="default"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 xml:space="preserve">    2.项目设计负责人须具有国家注册二级及以上建筑师或结构工程师资格，具备中级及以上技术职称。</w:t>
      </w:r>
    </w:p>
    <w:p w14:paraId="60BE443F">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（三）本项目不接受联合体投标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6"/>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lang w:val="en-US" w:eastAsia="zh-CN"/>
        </w:rPr>
        <w:t>自本公告发布之日起10个工作日内</w:t>
      </w:r>
      <w:r>
        <w:rPr>
          <w:rFonts w:hint="eastAsia" w:ascii="仿宋" w:hAnsi="仿宋" w:eastAsia="仿宋" w:cs="仿宋"/>
          <w:color w:val="auto"/>
          <w:kern w:val="2"/>
          <w:szCs w:val="22"/>
          <w:highlight w:val="none"/>
        </w:rPr>
        <w:t>。</w:t>
      </w:r>
    </w:p>
    <w:p w14:paraId="71ABB28A">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和附件2中的响应文件</w:t>
      </w:r>
      <w:r>
        <w:rPr>
          <w:rFonts w:hint="eastAsia" w:ascii="仿宋" w:hAnsi="仿宋" w:eastAsia="仿宋" w:cs="仿宋"/>
          <w:color w:val="auto"/>
          <w:kern w:val="2"/>
          <w:szCs w:val="22"/>
          <w:lang w:val="zh-CN" w:eastAsia="zh-CN"/>
        </w:rPr>
        <w:t>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和响应文件发送至邮箱即可</w:t>
      </w:r>
    </w:p>
    <w:p w14:paraId="3C795C0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2、递交时间：自本公告发布之日起10个工作日内。</w:t>
      </w:r>
    </w:p>
    <w:p w14:paraId="598DE9C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3、采购方式：院内议价</w:t>
      </w:r>
    </w:p>
    <w:p w14:paraId="2C90F173">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4.议价时间：另行通知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服务</w:t>
      </w:r>
      <w:r>
        <w:rPr>
          <w:rFonts w:hint="eastAsia" w:ascii="Calibri" w:hAnsi="Calibri" w:eastAsia="方正小标宋简体"/>
          <w:b w:val="0"/>
          <w:bCs w:val="0"/>
          <w:kern w:val="2"/>
          <w:szCs w:val="22"/>
        </w:rPr>
        <w:t>内容及商务要求</w:t>
      </w:r>
    </w:p>
    <w:p w14:paraId="191C74FD">
      <w:pPr>
        <w:bidi w:val="0"/>
        <w:rPr>
          <w:rFonts w:hint="eastAsia"/>
          <w:lang w:val="en-US" w:eastAsia="zh-CN"/>
        </w:rPr>
      </w:pPr>
    </w:p>
    <w:p w14:paraId="428DE1F7">
      <w:pPr>
        <w:numPr>
          <w:ilvl w:val="0"/>
          <w:numId w:val="3"/>
        </w:numPr>
        <w:spacing w:before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服务内容</w:t>
      </w:r>
    </w:p>
    <w:p w14:paraId="7749442E">
      <w:pPr>
        <w:pStyle w:val="2"/>
        <w:numPr>
          <w:ilvl w:val="0"/>
          <w:numId w:val="0"/>
        </w:numPr>
        <w:rPr>
          <w:rFonts w:hint="default"/>
          <w:lang w:val="en-US" w:eastAsia="zh-CN"/>
        </w:rPr>
      </w:pPr>
      <w:r>
        <w:rPr>
          <w:rFonts w:hint="eastAsia"/>
          <w:lang w:val="en-US" w:eastAsia="zh-CN"/>
        </w:rPr>
        <w:t xml:space="preserve">   </w:t>
      </w:r>
      <w:r>
        <w:rPr>
          <w:rFonts w:hint="eastAsia" w:ascii="仿宋" w:hAnsi="仿宋" w:eastAsia="仿宋" w:cs="仿宋"/>
          <w:color w:val="000000"/>
          <w:kern w:val="2"/>
          <w:sz w:val="24"/>
          <w:szCs w:val="20"/>
          <w:highlight w:val="none"/>
          <w:lang w:val="en-US" w:eastAsia="zh-CN" w:bidi="ar-SA"/>
        </w:rPr>
        <w:t>肿瘤放射治疗科直线加速器机房、CT模拟定位机机房及模拟定位机施工图设计(建筑、结构、给排水、电气、暖通)、辐射防护专项设计、特殊设备基础设计。设计需兼容设备的安装要求，包括设备载重、运输通道、预埋件位置及动力需求</w:t>
      </w:r>
    </w:p>
    <w:p w14:paraId="01569AF3">
      <w:pPr>
        <w:rPr>
          <w:rFonts w:hint="eastAsia"/>
          <w:lang w:val="en-US" w:eastAsia="zh-CN"/>
        </w:rPr>
      </w:pPr>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bookmarkStart w:id="152" w:name="_Toc16849"/>
      <w:bookmarkStart w:id="153" w:name="_Toc29395"/>
      <w:bookmarkStart w:id="154" w:name="_Toc31875"/>
      <w:bookmarkStart w:id="155" w:name="_Toc8834"/>
      <w:bookmarkStart w:id="156" w:name="_Toc8003"/>
      <w:bookmarkStart w:id="157" w:name="_Toc14222"/>
      <w:bookmarkStart w:id="158" w:name="_Toc3544"/>
      <w:bookmarkStart w:id="159" w:name="_Toc12592"/>
      <w:bookmarkStart w:id="160" w:name="_Toc7964"/>
      <w:bookmarkStart w:id="161" w:name="_Toc5392"/>
      <w:bookmarkStart w:id="162" w:name="_Toc28221"/>
      <w:bookmarkStart w:id="163" w:name="_Toc24001"/>
      <w:bookmarkStart w:id="164" w:name="_Toc3072"/>
      <w:bookmarkStart w:id="165" w:name="_Toc25230"/>
      <w:bookmarkStart w:id="166" w:name="_Toc15865"/>
      <w:bookmarkStart w:id="167" w:name="_Toc23514"/>
      <w:bookmarkStart w:id="168" w:name="_Toc7629"/>
      <w:bookmarkStart w:id="169" w:name="_Toc17404"/>
      <w:bookmarkStart w:id="170" w:name="_Toc1858"/>
      <w:r>
        <w:rPr>
          <w:rFonts w:hint="eastAsia" w:ascii="仿宋" w:hAnsi="仿宋" w:eastAsia="仿宋" w:cs="仿宋"/>
          <w:b/>
          <w:kern w:val="0"/>
          <w:sz w:val="28"/>
          <w:lang w:val="en-US" w:eastAsia="zh-CN"/>
        </w:rPr>
        <w:t>二、项目商务要求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384905065"/>
      <w:bookmarkStart w:id="172" w:name="_Toc435689002"/>
      <w:bookmarkStart w:id="173" w:name="_Toc409189624"/>
    </w:p>
    <w:p w14:paraId="0846DDF7">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22188"/>
      <w:bookmarkStart w:id="175" w:name="_Toc22143"/>
      <w:bookmarkStart w:id="176" w:name="_Toc28205"/>
      <w:bookmarkStart w:id="177" w:name="_Toc19642"/>
      <w:bookmarkStart w:id="178" w:name="_Toc21633"/>
      <w:bookmarkStart w:id="179" w:name="_Toc3983"/>
      <w:bookmarkStart w:id="180" w:name="_Toc3823"/>
      <w:bookmarkStart w:id="181" w:name="_Toc63600415"/>
      <w:bookmarkStart w:id="182" w:name="_Toc11100"/>
      <w:bookmarkStart w:id="183" w:name="_Toc26643"/>
      <w:bookmarkStart w:id="184" w:name="_Toc1847"/>
      <w:bookmarkStart w:id="185" w:name="_Toc31981"/>
      <w:bookmarkStart w:id="186" w:name="_Toc19939"/>
      <w:bookmarkStart w:id="187" w:name="_Toc24647"/>
      <w:bookmarkStart w:id="188" w:name="_Toc12283"/>
      <w:bookmarkStart w:id="189" w:name="_Toc2854"/>
      <w:bookmarkStart w:id="190" w:name="_Toc840"/>
      <w:bookmarkStart w:id="191" w:name="_Toc6027"/>
      <w:bookmarkStart w:id="192" w:name="_Toc15198"/>
      <w:bookmarkStart w:id="193" w:name="_Toc18787"/>
      <w:bookmarkStart w:id="194" w:name="_Toc31294"/>
      <w:bookmarkStart w:id="195" w:name="_Toc8899"/>
      <w:bookmarkStart w:id="196" w:name="_Toc24605"/>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106D6ED3">
      <w:pPr>
        <w:widowControl/>
        <w:ind w:firstLine="420" w:firstLineChars="0"/>
        <w:jc w:val="left"/>
        <w:textAlignment w:val="center"/>
        <w:rPr>
          <w:rFonts w:hint="eastAsia" w:ascii="仿宋" w:hAnsi="仿宋" w:eastAsia="仿宋" w:cs="仿宋"/>
          <w:color w:val="FF0000"/>
          <w:kern w:val="2"/>
          <w:sz w:val="24"/>
          <w:szCs w:val="20"/>
          <w:lang w:val="en-US" w:eastAsia="zh-CN" w:bidi="ar-SA"/>
        </w:rPr>
      </w:pPr>
      <w:r>
        <w:rPr>
          <w:rFonts w:hint="eastAsia" w:ascii="仿宋" w:hAnsi="仿宋" w:eastAsia="仿宋" w:cs="仿宋"/>
          <w:color w:val="auto"/>
          <w:kern w:val="2"/>
          <w:sz w:val="24"/>
          <w:szCs w:val="20"/>
          <w:lang w:val="en-US" w:eastAsia="zh-CN" w:bidi="ar-SA"/>
        </w:rPr>
        <w:t>报价为包干价，包含完成本项目全部设计工作所需的所有费用，包括但不限于设计费、计算费、差旅费、评审配合费、图纸打印费、税费及质保期服务费等。</w:t>
      </w:r>
    </w:p>
    <w:p w14:paraId="52216FEB">
      <w:p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（二）服务要求</w:t>
      </w:r>
    </w:p>
    <w:p w14:paraId="5BCE4556">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w:t>
      </w:r>
      <w:r>
        <w:rPr>
          <w:rFonts w:hint="default" w:ascii="仿宋" w:hAnsi="仿宋" w:eastAsia="仿宋" w:cs="仿宋"/>
          <w:color w:val="000000"/>
          <w:kern w:val="2"/>
          <w:sz w:val="24"/>
          <w:szCs w:val="20"/>
          <w:lang w:val="en-US" w:eastAsia="zh-CN" w:bidi="ar-SA"/>
        </w:rPr>
        <w:t>.作为设计责任方，协助医院完成后期技术支持工作，提供设计符合性说明材料，施工过程中积极到场配合，配合相关部门开展施工图审查、消防设计审查，控评环评等工作，直至项目通过全部验收环节并取得正式验收文件。</w:t>
      </w:r>
    </w:p>
    <w:p w14:paraId="6DA76EAA">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w:t>
      </w:r>
      <w:r>
        <w:rPr>
          <w:rFonts w:hint="default" w:ascii="仿宋" w:hAnsi="仿宋" w:eastAsia="仿宋" w:cs="仿宋"/>
          <w:color w:val="000000"/>
          <w:kern w:val="2"/>
          <w:sz w:val="24"/>
          <w:szCs w:val="20"/>
          <w:lang w:val="en-US" w:eastAsia="zh-CN" w:bidi="ar-SA"/>
        </w:rPr>
        <w:t>.交付的设计相关成果需满足“可追溯、可复用”要求，提交全套设计文件，确保医院能够独立应用设计成果。</w:t>
      </w:r>
    </w:p>
    <w:p w14:paraId="0616C8B8">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w:t>
      </w:r>
      <w:r>
        <w:rPr>
          <w:rFonts w:hint="default" w:ascii="仿宋" w:hAnsi="仿宋" w:eastAsia="仿宋" w:cs="仿宋"/>
          <w:color w:val="000000"/>
          <w:kern w:val="2"/>
          <w:sz w:val="24"/>
          <w:szCs w:val="20"/>
          <w:lang w:val="en-US" w:eastAsia="zh-CN" w:bidi="ar-SA"/>
        </w:rPr>
        <w:t>.供应商应在合同签订后30个工作日内完成全部工作并提交正式图纸</w:t>
      </w:r>
      <w:r>
        <w:rPr>
          <w:rFonts w:hint="eastAsia" w:ascii="仿宋" w:hAnsi="仿宋" w:eastAsia="仿宋" w:cs="仿宋"/>
          <w:color w:val="000000"/>
          <w:kern w:val="2"/>
          <w:sz w:val="24"/>
          <w:szCs w:val="20"/>
          <w:lang w:val="en-US" w:eastAsia="zh-CN" w:bidi="ar-SA"/>
        </w:rPr>
        <w:t>。</w:t>
      </w:r>
    </w:p>
    <w:p w14:paraId="41484688">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w:t>
      </w:r>
      <w:r>
        <w:rPr>
          <w:rFonts w:hint="default" w:ascii="仿宋" w:hAnsi="仿宋" w:eastAsia="仿宋" w:cs="仿宋"/>
          <w:color w:val="000000"/>
          <w:kern w:val="2"/>
          <w:sz w:val="24"/>
          <w:szCs w:val="20"/>
          <w:lang w:val="en-US" w:eastAsia="zh-CN" w:bidi="ar-SA"/>
        </w:rPr>
        <w:t>.供应商应提供全过程技术咨询服务，配合采购人完成相关部门的审查和验收工作</w:t>
      </w:r>
      <w:r>
        <w:rPr>
          <w:rFonts w:hint="eastAsia" w:ascii="仿宋" w:hAnsi="仿宋" w:eastAsia="仿宋" w:cs="仿宋"/>
          <w:color w:val="000000"/>
          <w:kern w:val="2"/>
          <w:sz w:val="24"/>
          <w:szCs w:val="20"/>
          <w:lang w:val="en-US" w:eastAsia="zh-CN" w:bidi="ar-SA"/>
        </w:rPr>
        <w:t>。</w:t>
      </w:r>
    </w:p>
    <w:p w14:paraId="2F1060BE">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w:t>
      </w:r>
      <w:r>
        <w:rPr>
          <w:rFonts w:hint="default" w:ascii="仿宋" w:hAnsi="仿宋" w:eastAsia="仿宋" w:cs="仿宋"/>
          <w:color w:val="000000"/>
          <w:kern w:val="2"/>
          <w:sz w:val="24"/>
          <w:szCs w:val="20"/>
          <w:lang w:val="en-US" w:eastAsia="zh-CN" w:bidi="ar-SA"/>
        </w:rPr>
        <w:t>.供应商应对图纸的真实性、准确性和合法性负责，如因图纸质里问题导致审批不通过，供应商应免费修改直至通过审批，并承担由此给采购人造成的损失</w:t>
      </w:r>
      <w:r>
        <w:rPr>
          <w:rFonts w:hint="eastAsia" w:ascii="仿宋" w:hAnsi="仿宋" w:eastAsia="仿宋" w:cs="仿宋"/>
          <w:color w:val="000000"/>
          <w:kern w:val="2"/>
          <w:sz w:val="24"/>
          <w:szCs w:val="20"/>
          <w:lang w:val="en-US" w:eastAsia="zh-CN" w:bidi="ar-SA"/>
        </w:rPr>
        <w:t>。</w:t>
      </w:r>
    </w:p>
    <w:p w14:paraId="2C3320D7">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6</w:t>
      </w:r>
      <w:r>
        <w:rPr>
          <w:rFonts w:hint="default" w:ascii="仿宋" w:hAnsi="仿宋" w:eastAsia="仿宋" w:cs="仿宋"/>
          <w:color w:val="000000"/>
          <w:kern w:val="2"/>
          <w:sz w:val="24"/>
          <w:szCs w:val="20"/>
          <w:lang w:val="en-US" w:eastAsia="zh-CN" w:bidi="ar-SA"/>
        </w:rPr>
        <w:t>.供应商完成合同约定的全部服务内容，且采购人对服务</w:t>
      </w:r>
      <w:r>
        <w:rPr>
          <w:rFonts w:hint="eastAsia" w:ascii="仿宋" w:hAnsi="仿宋" w:eastAsia="仿宋" w:cs="仿宋"/>
          <w:color w:val="000000"/>
          <w:kern w:val="2"/>
          <w:sz w:val="24"/>
          <w:szCs w:val="20"/>
          <w:lang w:val="en-US" w:eastAsia="zh-CN" w:bidi="ar-SA"/>
        </w:rPr>
        <w:t>质量</w:t>
      </w:r>
      <w:r>
        <w:rPr>
          <w:rFonts w:hint="default" w:ascii="仿宋" w:hAnsi="仿宋" w:eastAsia="仿宋" w:cs="仿宋"/>
          <w:color w:val="000000"/>
          <w:kern w:val="2"/>
          <w:sz w:val="24"/>
          <w:szCs w:val="20"/>
          <w:lang w:val="en-US" w:eastAsia="zh-CN" w:bidi="ar-SA"/>
        </w:rPr>
        <w:t>无异议</w:t>
      </w:r>
      <w:r>
        <w:rPr>
          <w:rFonts w:hint="eastAsia" w:ascii="仿宋" w:hAnsi="仿宋" w:eastAsia="仿宋" w:cs="仿宋"/>
          <w:color w:val="000000"/>
          <w:kern w:val="2"/>
          <w:sz w:val="24"/>
          <w:szCs w:val="20"/>
          <w:lang w:val="en-US" w:eastAsia="zh-CN" w:bidi="ar-SA"/>
        </w:rPr>
        <w:t>。</w:t>
      </w:r>
    </w:p>
    <w:p w14:paraId="43AF22EC">
      <w:pPr>
        <w:numPr>
          <w:ilvl w:val="0"/>
          <w:numId w:val="0"/>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（三）付款方式</w:t>
      </w:r>
    </w:p>
    <w:p w14:paraId="0C611075">
      <w:pPr>
        <w:pStyle w:val="26"/>
        <w:widowControl w:val="0"/>
        <w:numPr>
          <w:ilvl w:val="0"/>
          <w:numId w:val="0"/>
        </w:numPr>
        <w:wordWrap/>
        <w:autoSpaceDE w:val="0"/>
        <w:autoSpaceDN w:val="0"/>
        <w:adjustRightInd w:val="0"/>
        <w:snapToGrid/>
        <w:spacing w:line="240" w:lineRule="auto"/>
        <w:ind w:firstLine="480" w:firstLineChars="200"/>
        <w:textAlignment w:val="auto"/>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以人民币进行结算，每完成一个机房的图纸设计并送审合格后，中标方开具有效发票，采购人60个工作日内支付至指定账户。</w:t>
      </w:r>
    </w:p>
    <w:p w14:paraId="4DC10EB0">
      <w:pPr>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四、其他</w:t>
      </w:r>
    </w:p>
    <w:bookmarkEnd w:id="171"/>
    <w:bookmarkEnd w:id="172"/>
    <w:bookmarkEnd w:id="173"/>
    <w:p w14:paraId="7CB33CD2">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1.设计文件必须符合GBZ 121-2020、GBZ 130-2020、HJ 1198-2021、GB 18871-2002 等国家强制性标准。</w:t>
      </w:r>
    </w:p>
    <w:p w14:paraId="65297FC3">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2.设计文件必须确保项目一次性通过放射卫生控制效果评价和辐射安全许可验收。</w:t>
      </w:r>
    </w:p>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五</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院内议价</w:t>
      </w:r>
      <w:r>
        <w:rPr>
          <w:rFonts w:hint="eastAsia" w:ascii="仿宋" w:hAnsi="仿宋" w:eastAsia="仿宋" w:cs="仿宋"/>
          <w:sz w:val="24"/>
          <w:szCs w:val="28"/>
          <w:lang w:val="en-US"/>
        </w:rPr>
        <w:t>公告</w:t>
      </w:r>
    </w:p>
    <w:p w14:paraId="1D9EE7B9">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服务</w:t>
      </w:r>
      <w:r>
        <w:rPr>
          <w:rFonts w:hint="eastAsia" w:ascii="仿宋" w:hAnsi="仿宋" w:eastAsia="仿宋" w:cs="仿宋"/>
          <w:sz w:val="24"/>
          <w:szCs w:val="28"/>
          <w:lang w:val="en-US"/>
        </w:rPr>
        <w:t>内容及商务要求</w:t>
      </w:r>
    </w:p>
    <w:p w14:paraId="1322D8D7">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院内议价</w:t>
      </w:r>
      <w:r>
        <w:rPr>
          <w:rFonts w:hint="eastAsia" w:ascii="仿宋" w:hAnsi="仿宋" w:eastAsia="仿宋"/>
          <w:b/>
          <w:sz w:val="24"/>
        </w:rPr>
        <w:t>文件的澄清、修改、答疑</w:t>
      </w:r>
    </w:p>
    <w:p w14:paraId="476CBBE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1. </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人发出的澄清、修改、答疑等补充文件作为</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文件的组成部分，与</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文件具有同等效力。当</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文件、修改补充通知、澄清（答疑）纪要的内容相互矛盾时，以最后发出的文件为准。</w:t>
      </w:r>
    </w:p>
    <w:p w14:paraId="13513754">
      <w:pPr>
        <w:pStyle w:val="28"/>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文件的澄清、修改以及答疑纪要的内容，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8"/>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8"/>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议价内容及成交原则</w:t>
      </w:r>
    </w:p>
    <w:p w14:paraId="7552FD09">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小组</w:t>
      </w:r>
    </w:p>
    <w:p w14:paraId="17DFCD5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原则</w:t>
      </w:r>
    </w:p>
    <w:p w14:paraId="29DFC6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通过资格审查和符合性审查的供应商根据自身情况进行报价，</w:t>
      </w:r>
      <w:r>
        <w:rPr>
          <w:rFonts w:hint="default" w:ascii="仿宋" w:hAnsi="仿宋" w:eastAsia="仿宋" w:cs="仿宋"/>
          <w:b/>
          <w:bCs/>
          <w:color w:val="000000"/>
          <w:kern w:val="2"/>
          <w:sz w:val="24"/>
          <w:szCs w:val="24"/>
          <w:lang w:eastAsia="zh-CN"/>
        </w:rPr>
        <w:t>议价小组</w:t>
      </w:r>
      <w:r>
        <w:rPr>
          <w:rFonts w:hint="default" w:ascii="仿宋" w:hAnsi="仿宋" w:eastAsia="仿宋" w:cs="仿宋"/>
          <w:b/>
          <w:bCs/>
          <w:color w:val="000000"/>
          <w:kern w:val="2"/>
          <w:sz w:val="24"/>
          <w:szCs w:val="24"/>
          <w:lang w:val="en-US" w:eastAsia="zh-CN"/>
        </w:rPr>
        <w:t>将通过电话沟通的方式要</w:t>
      </w:r>
      <w:r>
        <w:rPr>
          <w:rFonts w:hint="default" w:ascii="仿宋" w:hAnsi="仿宋" w:eastAsia="仿宋" w:cs="仿宋"/>
          <w:b/>
          <w:bCs/>
          <w:color w:val="000000"/>
          <w:kern w:val="2"/>
          <w:sz w:val="24"/>
          <w:szCs w:val="24"/>
          <w:lang w:eastAsia="zh-CN"/>
        </w:rPr>
        <w:t>求供应商分别进行不超过</w:t>
      </w:r>
      <w:r>
        <w:rPr>
          <w:rFonts w:hint="eastAsia" w:ascii="仿宋" w:hAnsi="仿宋" w:eastAsia="仿宋" w:cs="仿宋"/>
          <w:b/>
          <w:bCs/>
          <w:color w:val="000000"/>
          <w:kern w:val="2"/>
          <w:sz w:val="24"/>
          <w:szCs w:val="24"/>
          <w:lang w:val="en-US" w:eastAsia="zh-CN"/>
        </w:rPr>
        <w:t>二</w:t>
      </w:r>
      <w:r>
        <w:rPr>
          <w:rFonts w:hint="default" w:ascii="仿宋" w:hAnsi="仿宋" w:eastAsia="仿宋" w:cs="仿宋"/>
          <w:b/>
          <w:bCs/>
          <w:color w:val="000000"/>
          <w:kern w:val="2"/>
          <w:sz w:val="24"/>
          <w:szCs w:val="24"/>
          <w:lang w:eastAsia="zh-CN"/>
        </w:rPr>
        <w:t>轮报价</w:t>
      </w:r>
      <w:r>
        <w:rPr>
          <w:rFonts w:hint="eastAsia" w:ascii="仿宋" w:hAnsi="仿宋" w:eastAsia="仿宋" w:cs="仿宋"/>
          <w:b/>
          <w:bCs/>
          <w:color w:val="000000"/>
          <w:kern w:val="2"/>
          <w:sz w:val="24"/>
          <w:szCs w:val="24"/>
          <w:lang w:eastAsia="zh-CN"/>
        </w:rPr>
        <w:t>：</w:t>
      </w:r>
    </w:p>
    <w:p w14:paraId="1C8CAEA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（1）一次报价：</w:t>
      </w:r>
      <w:r>
        <w:rPr>
          <w:rFonts w:hint="eastAsia" w:ascii="仿宋" w:hAnsi="仿宋" w:eastAsia="仿宋" w:cs="仿宋"/>
          <w:b w:val="0"/>
          <w:bCs w:val="0"/>
          <w:color w:val="000000"/>
          <w:kern w:val="2"/>
          <w:sz w:val="24"/>
          <w:szCs w:val="24"/>
          <w:lang w:eastAsia="zh-CN"/>
        </w:rPr>
        <w:t>议价开始前报价（按规定提交的“响应报价一览表”）</w:t>
      </w:r>
    </w:p>
    <w:p w14:paraId="143A664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lang w:val="en-US" w:eastAsia="zh-CN"/>
        </w:rPr>
      </w:pPr>
      <w:r>
        <w:rPr>
          <w:rFonts w:hint="eastAsia" w:ascii="仿宋" w:hAnsi="仿宋" w:eastAsia="仿宋" w:cs="仿宋"/>
          <w:b w:val="0"/>
          <w:bCs w:val="0"/>
          <w:color w:val="000000"/>
          <w:kern w:val="2"/>
          <w:sz w:val="24"/>
          <w:szCs w:val="24"/>
          <w:lang w:val="en-US" w:eastAsia="zh-CN"/>
        </w:rPr>
        <w:t>（2）</w:t>
      </w:r>
      <w:r>
        <w:rPr>
          <w:rFonts w:hint="eastAsia" w:ascii="仿宋" w:hAnsi="仿宋" w:eastAsia="仿宋" w:cs="仿宋"/>
          <w:b w:val="0"/>
          <w:bCs w:val="0"/>
          <w:color w:val="000000"/>
          <w:kern w:val="2"/>
          <w:sz w:val="24"/>
          <w:szCs w:val="24"/>
          <w:lang w:eastAsia="zh-CN"/>
        </w:rPr>
        <w:t>二次报价：</w:t>
      </w:r>
      <w:r>
        <w:rPr>
          <w:rFonts w:hint="default" w:ascii="仿宋" w:hAnsi="仿宋" w:eastAsia="仿宋" w:cs="仿宋"/>
          <w:b w:val="0"/>
          <w:bCs w:val="0"/>
          <w:color w:val="000000"/>
          <w:kern w:val="2"/>
          <w:sz w:val="24"/>
          <w:szCs w:val="24"/>
          <w:lang w:val="en-US" w:eastAsia="zh-CN"/>
        </w:rPr>
        <w:t>议价小组应根据供应商所提供</w:t>
      </w:r>
      <w:r>
        <w:rPr>
          <w:rFonts w:hint="eastAsia" w:ascii="仿宋" w:hAnsi="仿宋" w:eastAsia="仿宋" w:cs="仿宋"/>
          <w:b w:val="0"/>
          <w:bCs w:val="0"/>
          <w:color w:val="000000"/>
          <w:kern w:val="2"/>
          <w:sz w:val="24"/>
          <w:szCs w:val="24"/>
          <w:lang w:val="en-US" w:eastAsia="zh-CN"/>
        </w:rPr>
        <w:t>服务</w:t>
      </w:r>
      <w:r>
        <w:rPr>
          <w:rFonts w:hint="default" w:ascii="仿宋" w:hAnsi="仿宋" w:eastAsia="仿宋" w:cs="仿宋"/>
          <w:b w:val="0"/>
          <w:bCs w:val="0"/>
          <w:color w:val="000000"/>
          <w:kern w:val="2"/>
          <w:sz w:val="24"/>
          <w:szCs w:val="24"/>
          <w:lang w:val="en-US" w:eastAsia="zh-CN"/>
        </w:rPr>
        <w:t>在满足院内议价文件要求前提下，在采购预算范围内且</w:t>
      </w:r>
      <w:r>
        <w:rPr>
          <w:rFonts w:hint="default" w:ascii="仿宋" w:hAnsi="仿宋" w:eastAsia="仿宋" w:cs="仿宋"/>
          <w:b w:val="0"/>
          <w:bCs w:val="0"/>
          <w:color w:val="FF0000"/>
          <w:kern w:val="2"/>
          <w:sz w:val="24"/>
          <w:szCs w:val="24"/>
          <w:lang w:val="en-US" w:eastAsia="zh-CN"/>
        </w:rPr>
        <w:t>最终报价最低</w:t>
      </w:r>
      <w:r>
        <w:rPr>
          <w:rFonts w:hint="default" w:ascii="仿宋" w:hAnsi="仿宋" w:eastAsia="仿宋" w:cs="仿宋"/>
          <w:b w:val="0"/>
          <w:bCs w:val="0"/>
          <w:color w:val="000000"/>
          <w:kern w:val="2"/>
          <w:sz w:val="24"/>
          <w:szCs w:val="24"/>
          <w:lang w:val="en-US" w:eastAsia="zh-CN"/>
        </w:rPr>
        <w:t>的成交原则，按各供应商最终报价由低到高顺序推荐成交候选供应商。议价小组若无法推荐出合格的成交候选供应商，将宣布议价失败</w:t>
      </w:r>
      <w:r>
        <w:rPr>
          <w:rFonts w:hint="eastAsia" w:ascii="仿宋" w:hAnsi="仿宋" w:eastAsia="仿宋" w:cs="仿宋"/>
          <w:b w:val="0"/>
          <w:bCs w:val="0"/>
          <w:color w:val="000000"/>
          <w:kern w:val="2"/>
          <w:sz w:val="24"/>
          <w:szCs w:val="24"/>
          <w:lang w:eastAsia="zh-CN"/>
        </w:rPr>
        <w:t>（</w:t>
      </w:r>
      <w:r>
        <w:rPr>
          <w:rFonts w:hint="eastAsia" w:ascii="仿宋" w:hAnsi="仿宋" w:eastAsia="仿宋" w:cs="仿宋"/>
          <w:b w:val="0"/>
          <w:bCs w:val="0"/>
          <w:color w:val="000000"/>
          <w:kern w:val="2"/>
          <w:sz w:val="24"/>
          <w:szCs w:val="24"/>
          <w:lang w:val="en-US" w:eastAsia="zh-CN"/>
        </w:rPr>
        <w:t>二次报价为线上形式</w:t>
      </w:r>
      <w:r>
        <w:rPr>
          <w:rFonts w:hint="eastAsia" w:ascii="仿宋" w:hAnsi="仿宋" w:eastAsia="仿宋" w:cs="仿宋"/>
          <w:b w:val="0"/>
          <w:bCs w:val="0"/>
          <w:color w:val="000000"/>
          <w:kern w:val="2"/>
          <w:sz w:val="24"/>
          <w:szCs w:val="24"/>
          <w:lang w:eastAsia="zh-CN"/>
        </w:rPr>
        <w:t>）。</w:t>
      </w:r>
    </w:p>
    <w:p w14:paraId="6C8D163A">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文件中规定资格要求的；</w:t>
      </w:r>
    </w:p>
    <w:p w14:paraId="35EC69A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中，出现下列情况之一的，应予废标</w:t>
      </w:r>
    </w:p>
    <w:p w14:paraId="0983B8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19"/>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具有独立承担民事责任的能力</w:t>
            </w:r>
          </w:p>
        </w:tc>
        <w:tc>
          <w:tcPr>
            <w:tcW w:w="5128" w:type="dxa"/>
            <w:tcBorders>
              <w:left w:val="single" w:color="auto" w:sz="4" w:space="0"/>
            </w:tcBorders>
            <w:vAlign w:val="center"/>
          </w:tcPr>
          <w:p w14:paraId="15D5EB31">
            <w:pPr>
              <w:spacing w:line="240" w:lineRule="auto"/>
              <w:ind w:firstLine="0" w:firstLineChars="0"/>
              <w:jc w:val="center"/>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提供法人或其他组织的营业执照等证明文件</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5A334C8A">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提供近1年经审计的财务报告或财务报表（财务报表应包括：资产负债表、损益表、现金流量表）；新成立的公司、部分其他组织，没有经审计的财务报告提供基本开户银行出具的有效资信证明，加盖公章。</w:t>
            </w:r>
          </w:p>
          <w:p w14:paraId="4CFC9B50">
            <w:pPr>
              <w:pStyle w:val="26"/>
              <w:wordWrap/>
              <w:snapToGrid/>
              <w:spacing w:line="240" w:lineRule="auto"/>
              <w:ind w:left="0" w:leftChars="0" w:firstLine="415" w:firstLineChars="198"/>
              <w:jc w:val="both"/>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454426D7">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①提供2025年5月至今任意一个月缴纳税收的凭据或证明材料（依法免税的，提供有效的证明文件）。②提供2025年5月至今任意一个月社会保障资金缴纳证明材料（不需要缴纳社保资金的，提供有效的证明文件）。</w:t>
            </w:r>
          </w:p>
          <w:p w14:paraId="67EBA8C3">
            <w:pPr>
              <w:pStyle w:val="26"/>
              <w:wordWrap/>
              <w:snapToGrid/>
              <w:spacing w:line="240" w:lineRule="auto"/>
              <w:ind w:left="0" w:leftChars="0" w:firstLine="415" w:firstLineChars="198"/>
              <w:jc w:val="both"/>
              <w:rPr>
                <w:rFonts w:hint="eastAsia" w:ascii="仿宋" w:hAnsi="仿宋" w:eastAsia="仿宋" w:cs="仿宋"/>
                <w:color w:val="000000"/>
                <w:kern w:val="2"/>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5798F826">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投标供应商营业执照要求登录“国家企业信用信息公示系统”等官方查询平台，打印该系统网页显示的投标公司信息并加盖公章。</w:t>
            </w:r>
          </w:p>
        </w:tc>
      </w:tr>
      <w:tr w14:paraId="2276F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3E91AE9D">
            <w:pPr>
              <w:spacing w:line="240" w:lineRule="auto"/>
              <w:ind w:firstLine="0" w:firstLineChars="0"/>
              <w:jc w:val="center"/>
              <w:rPr>
                <w:rFonts w:hint="eastAsia" w:ascii="仿宋" w:hAnsi="仿宋" w:eastAsia="仿宋" w:cs="仿宋"/>
                <w:color w:val="000000"/>
                <w:szCs w:val="24"/>
                <w:lang w:val="en-US" w:eastAsia="zh-CN"/>
              </w:rPr>
            </w:pPr>
          </w:p>
        </w:tc>
        <w:tc>
          <w:tcPr>
            <w:tcW w:w="2433" w:type="dxa"/>
            <w:tcBorders>
              <w:right w:val="single" w:color="auto" w:sz="4" w:space="0"/>
            </w:tcBorders>
            <w:vAlign w:val="center"/>
          </w:tcPr>
          <w:p w14:paraId="5ACB7B6F">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auto"/>
                <w:kern w:val="2"/>
                <w:szCs w:val="22"/>
              </w:rPr>
              <w:t>特殊资格要求</w:t>
            </w:r>
          </w:p>
        </w:tc>
        <w:tc>
          <w:tcPr>
            <w:tcW w:w="5128" w:type="dxa"/>
            <w:tcBorders>
              <w:left w:val="single" w:color="auto" w:sz="4" w:space="0"/>
            </w:tcBorders>
            <w:vAlign w:val="center"/>
          </w:tcPr>
          <w:p w14:paraId="5AD03DCB">
            <w:pPr>
              <w:widowControl w:val="0"/>
              <w:spacing w:before="0" w:beforeAutospacing="0" w:after="0" w:afterAutospacing="0" w:line="240" w:lineRule="auto"/>
              <w:ind w:left="0" w:right="0" w:firstLine="630" w:firstLineChars="300"/>
              <w:jc w:val="both"/>
              <w:rPr>
                <w:rFonts w:hint="eastAsia" w:ascii="仿宋" w:hAnsi="仿宋" w:eastAsia="仿宋" w:cs="仿宋"/>
                <w:b w:val="0"/>
                <w:bCs w:val="0"/>
                <w:color w:val="auto"/>
                <w:kern w:val="2"/>
                <w:szCs w:val="22"/>
                <w:lang w:val="en-US" w:eastAsia="zh-CN"/>
              </w:rPr>
            </w:pPr>
            <w:r>
              <w:rPr>
                <w:rFonts w:hint="eastAsia" w:ascii="仿宋" w:hAnsi="仿宋" w:eastAsia="仿宋" w:cs="仿宋"/>
                <w:b w:val="0"/>
                <w:bCs w:val="0"/>
                <w:color w:val="auto"/>
                <w:kern w:val="2"/>
                <w:szCs w:val="22"/>
                <w:lang w:val="en-US" w:eastAsia="zh-CN"/>
              </w:rPr>
              <w:t>1.工程设计建筑行业（建筑工程）乙级及以上资质。</w:t>
            </w:r>
          </w:p>
          <w:p w14:paraId="1B3B3C03">
            <w:pPr>
              <w:pStyle w:val="2"/>
              <w:rPr>
                <w:rFonts w:hint="eastAsia" w:ascii="仿宋" w:hAnsi="仿宋" w:eastAsia="仿宋" w:cs="仿宋"/>
                <w:color w:val="000000"/>
                <w:kern w:val="2"/>
                <w:sz w:val="21"/>
                <w:szCs w:val="24"/>
              </w:rPr>
            </w:pPr>
            <w:r>
              <w:rPr>
                <w:rFonts w:hint="eastAsia" w:ascii="仿宋" w:hAnsi="仿宋" w:eastAsia="仿宋" w:cs="仿宋"/>
                <w:b w:val="0"/>
                <w:bCs w:val="0"/>
                <w:color w:val="auto"/>
                <w:kern w:val="2"/>
                <w:szCs w:val="22"/>
                <w:lang w:val="en-US" w:eastAsia="zh-CN"/>
              </w:rPr>
              <w:t xml:space="preserve">    </w:t>
            </w:r>
            <w:r>
              <w:rPr>
                <w:rFonts w:hint="eastAsia" w:ascii="仿宋" w:hAnsi="仿宋" w:eastAsia="仿宋" w:cs="仿宋"/>
                <w:b w:val="0"/>
                <w:bCs w:val="0"/>
                <w:color w:val="auto"/>
                <w:kern w:val="2"/>
                <w:sz w:val="21"/>
                <w:szCs w:val="22"/>
                <w:lang w:val="en-US" w:eastAsia="zh-CN" w:bidi="ar-SA"/>
              </w:rPr>
              <w:t>2.项目设计负责人须具有国家注册二级及以上建筑师或结构工程师资格，具备中级及以上技术职称。</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Align w:val="center"/>
          </w:tcPr>
          <w:p w14:paraId="4F4071B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符合性审查</w:t>
            </w:r>
          </w:p>
        </w:tc>
        <w:tc>
          <w:tcPr>
            <w:tcW w:w="2433" w:type="dxa"/>
            <w:tcBorders>
              <w:right w:val="single" w:color="auto" w:sz="4" w:space="0"/>
            </w:tcBorders>
            <w:vAlign w:val="center"/>
          </w:tcPr>
          <w:p w14:paraId="0A266D10">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rPr>
              <w:t>完全响应</w:t>
            </w:r>
            <w:r>
              <w:rPr>
                <w:rFonts w:hint="eastAsia" w:ascii="仿宋" w:hAnsi="仿宋" w:eastAsia="仿宋" w:cs="仿宋"/>
                <w:color w:val="000000"/>
                <w:kern w:val="2"/>
                <w:sz w:val="21"/>
                <w:szCs w:val="24"/>
                <w:lang w:val="en-US" w:eastAsia="zh-CN"/>
              </w:rPr>
              <w:t>议价文件中所有服务要求及商务条款</w:t>
            </w:r>
          </w:p>
        </w:tc>
        <w:tc>
          <w:tcPr>
            <w:tcW w:w="5128" w:type="dxa"/>
            <w:tcBorders>
              <w:left w:val="single" w:color="auto" w:sz="4" w:space="0"/>
            </w:tcBorders>
            <w:vAlign w:val="center"/>
          </w:tcPr>
          <w:p w14:paraId="7A7BBB2C">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填写符合性响应审查表</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议价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评标统计。评分结果均按四舍五入的方法精确到小数点后2位。</w:t>
      </w: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议价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遵义医科大学第二附属医院医疗设备机房施工图设计服务项目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议</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lang w:eastAsia="zh-CN"/>
        </w:rPr>
        <w:t>采购</w:t>
      </w:r>
      <w:r>
        <w:rPr>
          <w:rFonts w:hint="eastAsia" w:ascii="宋体" w:hAnsi="宋体"/>
          <w:b/>
          <w:sz w:val="36"/>
          <w:szCs w:val="36"/>
        </w:rPr>
        <w:t>项目名称：</w:t>
      </w:r>
      <w:r>
        <w:rPr>
          <w:rFonts w:hint="eastAsia" w:ascii="宋体" w:hAnsi="宋体"/>
          <w:b/>
          <w:sz w:val="36"/>
          <w:szCs w:val="36"/>
          <w:lang w:val="en-US" w:eastAsia="zh-CN"/>
        </w:rPr>
        <w:t>遵义医科大学第二附属医院医疗设备机房施工图设计服务项目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lang w:eastAsia="zh-CN"/>
        </w:rPr>
        <w:t>采购</w:t>
      </w:r>
      <w:r>
        <w:rPr>
          <w:rFonts w:hint="eastAsia" w:ascii="宋体" w:hAnsi="宋体"/>
          <w:b/>
          <w:sz w:val="36"/>
          <w:szCs w:val="36"/>
        </w:rPr>
        <w:t>项目编号：</w:t>
      </w:r>
      <w:r>
        <w:rPr>
          <w:rFonts w:hint="eastAsia" w:ascii="宋体" w:hAnsi="宋体"/>
          <w:b/>
          <w:sz w:val="36"/>
          <w:szCs w:val="36"/>
          <w:lang w:val="en-US" w:eastAsia="zh-CN"/>
        </w:rPr>
        <w:t>CGB26048-HQ02</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议价</w:t>
      </w:r>
      <w:r>
        <w:rPr>
          <w:rFonts w:hint="eastAsia" w:ascii="宋体" w:hAnsi="宋体" w:cs="Lucida Sans Unicode"/>
          <w:b/>
          <w:sz w:val="44"/>
          <w:szCs w:val="44"/>
        </w:rPr>
        <w:t>文件目录（自行拟定）</w:t>
      </w:r>
    </w:p>
    <w:p w14:paraId="3A1A81BA">
      <w:pPr>
        <w:pStyle w:val="18"/>
        <w:ind w:firstLine="883"/>
        <w:rPr>
          <w:rFonts w:hint="eastAsia" w:ascii="宋体" w:hAnsi="宋体" w:cs="Lucida Sans Unicode"/>
          <w:b/>
          <w:sz w:val="44"/>
          <w:szCs w:val="44"/>
        </w:rPr>
      </w:pPr>
    </w:p>
    <w:p w14:paraId="6E1E5BE4">
      <w:pPr>
        <w:pStyle w:val="18"/>
        <w:ind w:firstLine="883"/>
        <w:rPr>
          <w:rFonts w:hint="eastAsia" w:ascii="宋体" w:hAnsi="宋体" w:cs="Lucida Sans Unicode"/>
          <w:b/>
          <w:sz w:val="44"/>
          <w:szCs w:val="44"/>
        </w:rPr>
      </w:pPr>
    </w:p>
    <w:p w14:paraId="1668FFD5">
      <w:pPr>
        <w:pStyle w:val="18"/>
        <w:ind w:firstLine="883"/>
        <w:rPr>
          <w:rFonts w:hint="eastAsia" w:ascii="宋体" w:hAnsi="宋体" w:cs="Lucida Sans Unicode"/>
          <w:b/>
          <w:sz w:val="44"/>
          <w:szCs w:val="44"/>
        </w:rPr>
      </w:pPr>
    </w:p>
    <w:p w14:paraId="20B22AE1">
      <w:pPr>
        <w:pStyle w:val="18"/>
        <w:ind w:firstLine="883"/>
        <w:rPr>
          <w:rFonts w:hint="eastAsia" w:ascii="宋体" w:hAnsi="宋体" w:cs="Lucida Sans Unicode"/>
          <w:b/>
          <w:sz w:val="44"/>
          <w:szCs w:val="44"/>
        </w:rPr>
      </w:pPr>
    </w:p>
    <w:p w14:paraId="41D7106A">
      <w:pPr>
        <w:pStyle w:val="18"/>
        <w:ind w:firstLine="883"/>
        <w:rPr>
          <w:rFonts w:hint="eastAsia" w:ascii="宋体" w:hAnsi="宋体" w:cs="Lucida Sans Unicode"/>
          <w:b/>
          <w:sz w:val="44"/>
          <w:szCs w:val="44"/>
        </w:rPr>
      </w:pPr>
    </w:p>
    <w:p w14:paraId="78BBA14B">
      <w:pPr>
        <w:pStyle w:val="18"/>
        <w:ind w:firstLine="0" w:firstLineChars="0"/>
        <w:rPr>
          <w:rFonts w:hint="eastAsia" w:ascii="宋体" w:hAnsi="宋体" w:cs="Lucida Sans Unicode"/>
          <w:b/>
          <w:sz w:val="44"/>
          <w:szCs w:val="44"/>
        </w:rPr>
      </w:pPr>
    </w:p>
    <w:p w14:paraId="44D0942D">
      <w:pPr>
        <w:pStyle w:val="18"/>
        <w:ind w:firstLine="883"/>
        <w:rPr>
          <w:rFonts w:hint="eastAsia" w:ascii="宋体" w:hAnsi="宋体" w:cs="Lucida Sans Unicode"/>
          <w:b/>
          <w:sz w:val="44"/>
          <w:szCs w:val="44"/>
        </w:rPr>
      </w:pPr>
    </w:p>
    <w:p w14:paraId="01B54748">
      <w:pPr>
        <w:pStyle w:val="18"/>
        <w:ind w:firstLine="883"/>
        <w:rPr>
          <w:rFonts w:hint="eastAsia" w:ascii="宋体" w:hAnsi="宋体" w:cs="Lucida Sans Unicode"/>
          <w:b/>
          <w:sz w:val="44"/>
          <w:szCs w:val="44"/>
        </w:rPr>
      </w:pPr>
    </w:p>
    <w:p w14:paraId="55C51EEC">
      <w:pPr>
        <w:pStyle w:val="18"/>
        <w:ind w:firstLine="883"/>
        <w:rPr>
          <w:rFonts w:hint="eastAsia" w:ascii="宋体" w:hAnsi="宋体" w:cs="Lucida Sans Unicode"/>
          <w:b/>
          <w:sz w:val="44"/>
          <w:szCs w:val="44"/>
        </w:rPr>
      </w:pPr>
    </w:p>
    <w:p w14:paraId="5ACF4BF2">
      <w:pPr>
        <w:pStyle w:val="18"/>
        <w:ind w:firstLine="883"/>
        <w:rPr>
          <w:rFonts w:hint="eastAsia" w:ascii="宋体" w:hAnsi="宋体" w:cs="Lucida Sans Unicode"/>
          <w:b/>
          <w:sz w:val="44"/>
          <w:szCs w:val="44"/>
        </w:rPr>
      </w:pPr>
    </w:p>
    <w:p w14:paraId="5F84F8A1">
      <w:pPr>
        <w:pStyle w:val="18"/>
        <w:ind w:firstLine="0" w:firstLineChars="0"/>
        <w:rPr>
          <w:rFonts w:hint="eastAsia" w:ascii="宋体" w:hAnsi="宋体" w:cs="Lucida Sans Unicode"/>
          <w:b/>
          <w:sz w:val="44"/>
          <w:szCs w:val="44"/>
        </w:rPr>
      </w:pPr>
    </w:p>
    <w:p w14:paraId="0142728B">
      <w:pPr>
        <w:spacing w:line="480" w:lineRule="exact"/>
        <w:ind w:firstLine="540" w:firstLineChars="224"/>
        <w:rPr>
          <w:rFonts w:hint="eastAsia" w:ascii="宋体" w:hAnsi="宋体" w:cs="Lucida Sans Unicode"/>
          <w:b/>
          <w:sz w:val="24"/>
        </w:rPr>
      </w:pPr>
      <w:r>
        <w:rPr>
          <w:rFonts w:hint="eastAsia" w:ascii="宋体" w:hAnsi="宋体" w:cs="Lucida Sans Unicode"/>
          <w:b/>
          <w:sz w:val="24"/>
        </w:rPr>
        <w:t>我单位的</w:t>
      </w:r>
      <w:r>
        <w:rPr>
          <w:rFonts w:hint="eastAsia" w:ascii="宋体" w:hAnsi="宋体" w:cs="Lucida Sans Unicode"/>
          <w:b/>
          <w:sz w:val="24"/>
          <w:lang w:val="en-US" w:eastAsia="zh-CN"/>
        </w:rPr>
        <w:t>议价</w:t>
      </w:r>
      <w:r>
        <w:rPr>
          <w:rFonts w:hint="eastAsia" w:ascii="宋体" w:hAnsi="宋体" w:cs="Lucida Sans Unicode"/>
          <w:b/>
          <w:sz w:val="24"/>
        </w:rPr>
        <w:t>文件由开标一览表、资格证明文件</w:t>
      </w:r>
      <w:r>
        <w:rPr>
          <w:rFonts w:hint="eastAsia" w:ascii="宋体" w:hAnsi="宋体" w:cs="Lucida Sans Unicode"/>
          <w:b/>
          <w:sz w:val="24"/>
          <w:lang w:eastAsia="zh-CN"/>
        </w:rPr>
        <w:t>、</w:t>
      </w:r>
      <w:r>
        <w:rPr>
          <w:rFonts w:hint="eastAsia" w:ascii="宋体" w:hAnsi="宋体" w:cs="Lucida Sans Unicode"/>
          <w:b/>
          <w:sz w:val="24"/>
        </w:rPr>
        <w:t>符合性</w:t>
      </w:r>
      <w:r>
        <w:rPr>
          <w:rFonts w:hint="eastAsia" w:ascii="宋体" w:hAnsi="宋体" w:cs="Lucida Sans Unicode"/>
          <w:b/>
          <w:sz w:val="24"/>
          <w:lang w:val="en-US" w:eastAsia="zh-CN"/>
        </w:rPr>
        <w:t>响应</w:t>
      </w:r>
      <w:r>
        <w:rPr>
          <w:rFonts w:hint="eastAsia" w:ascii="宋体" w:hAnsi="宋体" w:cs="Lucida Sans Unicode"/>
          <w:b/>
          <w:sz w:val="24"/>
        </w:rPr>
        <w:t>材料</w:t>
      </w:r>
      <w:r>
        <w:rPr>
          <w:rFonts w:hint="eastAsia" w:ascii="宋体" w:hAnsi="宋体" w:cs="Lucida Sans Unicode"/>
          <w:b/>
          <w:sz w:val="24"/>
          <w:lang w:val="en-US" w:eastAsia="zh-CN"/>
        </w:rPr>
        <w:t>和其他材料四</w:t>
      </w:r>
      <w:r>
        <w:rPr>
          <w:rFonts w:hint="eastAsia" w:ascii="宋体" w:hAnsi="宋体" w:cs="Lucida Sans Unicode"/>
          <w:b/>
          <w:sz w:val="24"/>
        </w:rPr>
        <w:t>部分组成，共</w:t>
      </w:r>
      <w:r>
        <w:rPr>
          <w:rFonts w:hint="eastAsia" w:ascii="宋体" w:hAnsi="宋体" w:cs="Lucida Sans Unicode"/>
          <w:b/>
          <w:sz w:val="24"/>
          <w:u w:val="single"/>
        </w:rPr>
        <w:t xml:space="preserve">     </w:t>
      </w:r>
      <w:r>
        <w:rPr>
          <w:rFonts w:hint="eastAsia" w:ascii="宋体" w:hAnsi="宋体" w:cs="Lucida Sans Unicode"/>
          <w:b/>
          <w:sz w:val="24"/>
        </w:rPr>
        <w:t>页，在此加盖公章并由法定代表人或其授权代表签字，保证</w:t>
      </w:r>
      <w:r>
        <w:rPr>
          <w:rFonts w:hint="eastAsia" w:ascii="宋体" w:hAnsi="宋体" w:cs="Lucida Sans Unicode"/>
          <w:b/>
          <w:sz w:val="24"/>
          <w:lang w:eastAsia="zh-CN"/>
        </w:rPr>
        <w:t>议价</w:t>
      </w:r>
      <w:r>
        <w:rPr>
          <w:rFonts w:hint="eastAsia" w:ascii="宋体" w:hAnsi="宋体" w:cs="Lucida Sans Unicode"/>
          <w:b/>
          <w:sz w:val="24"/>
        </w:rPr>
        <w:t>文件中所有材料真实、有效。</w:t>
      </w:r>
    </w:p>
    <w:p w14:paraId="513A9E3D">
      <w:pPr>
        <w:spacing w:line="600" w:lineRule="auto"/>
        <w:ind w:firstLine="480" w:firstLineChars="200"/>
        <w:rPr>
          <w:rFonts w:hint="eastAsia" w:ascii="宋体" w:hAnsi="宋体" w:cs="Lucida Sans Unicode"/>
          <w:sz w:val="24"/>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eastAsia="宋体" w:cs="宋体"/>
          <w:bCs/>
          <w:szCs w:val="21"/>
          <w:highlight w:val="none"/>
          <w:lang w:val="en-US" w:eastAsia="zh-CN"/>
        </w:rPr>
        <w:t>遵义医科大学第二附属医院</w:t>
      </w:r>
      <w:r>
        <w:rPr>
          <w:rFonts w:hint="eastAsia" w:ascii="宋体" w:hAnsi="宋体" w:cs="宋体"/>
          <w:bCs/>
          <w:szCs w:val="21"/>
          <w:highlight w:val="none"/>
          <w:lang w:val="en-US" w:eastAsia="zh-CN"/>
        </w:rPr>
        <w:t>医疗设备机房施工图设计服务项目</w:t>
      </w:r>
      <w:r>
        <w:rPr>
          <w:rFonts w:hint="eastAsia" w:ascii="宋体" w:hAnsi="宋体" w:eastAsia="宋体" w:cs="宋体"/>
          <w:bCs/>
          <w:szCs w:val="21"/>
          <w:highlight w:val="none"/>
        </w:rPr>
        <w:t xml:space="preserve">                               项目编号:</w:t>
      </w:r>
      <w:r>
        <w:rPr>
          <w:rFonts w:hint="eastAsia" w:ascii="宋体" w:hAnsi="宋体" w:cs="宋体"/>
          <w:bCs/>
          <w:szCs w:val="21"/>
          <w:highlight w:val="none"/>
          <w:lang w:val="en-US" w:eastAsia="zh-CN"/>
        </w:rPr>
        <w:t>CGB26048-HQ02</w:t>
      </w:r>
    </w:p>
    <w:tbl>
      <w:tblPr>
        <w:tblStyle w:val="19"/>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6"/>
        <w:gridCol w:w="6494"/>
      </w:tblGrid>
      <w:tr w14:paraId="1E76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2596" w:type="dxa"/>
            <w:vAlign w:val="center"/>
          </w:tcPr>
          <w:p w14:paraId="0EC39B85">
            <w:pPr>
              <w:pStyle w:val="2"/>
              <w:tabs>
                <w:tab w:val="left" w:pos="5860"/>
              </w:tabs>
              <w:spacing w:before="139"/>
              <w:jc w:val="center"/>
              <w:rPr>
                <w:rFonts w:hint="eastAsia" w:ascii="宋体" w:hAnsi="宋体" w:eastAsia="宋体" w:cs="Lucida Sans Unicode"/>
                <w:sz w:val="24"/>
              </w:rPr>
            </w:pPr>
            <w:r>
              <w:rPr>
                <w:rFonts w:hint="eastAsia" w:ascii="宋体" w:hAnsi="宋体" w:eastAsia="宋体" w:cs="Lucida Sans Unicode"/>
                <w:sz w:val="24"/>
              </w:rPr>
              <w:t>投标人名称</w:t>
            </w:r>
          </w:p>
        </w:tc>
        <w:tc>
          <w:tcPr>
            <w:tcW w:w="6494" w:type="dxa"/>
            <w:vAlign w:val="center"/>
          </w:tcPr>
          <w:p w14:paraId="36AF6BA3">
            <w:pPr>
              <w:pStyle w:val="2"/>
              <w:tabs>
                <w:tab w:val="left" w:pos="5860"/>
              </w:tabs>
              <w:spacing w:before="139"/>
              <w:jc w:val="center"/>
              <w:rPr>
                <w:rFonts w:hint="eastAsia" w:ascii="宋体" w:hAnsi="宋体" w:eastAsia="宋体" w:cs="Lucida Sans Unicode"/>
                <w:sz w:val="24"/>
              </w:rPr>
            </w:pPr>
          </w:p>
        </w:tc>
      </w:tr>
      <w:tr w14:paraId="2C6A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2596" w:type="dxa"/>
            <w:tcBorders>
              <w:bottom w:val="single" w:color="auto" w:sz="4" w:space="0"/>
            </w:tcBorders>
            <w:vAlign w:val="center"/>
          </w:tcPr>
          <w:p w14:paraId="01CCC273">
            <w:pPr>
              <w:pStyle w:val="2"/>
              <w:tabs>
                <w:tab w:val="left" w:pos="5860"/>
              </w:tabs>
              <w:spacing w:before="139"/>
              <w:jc w:val="center"/>
              <w:rPr>
                <w:rFonts w:hint="default" w:ascii="宋体" w:hAnsi="宋体" w:eastAsia="宋体" w:cs="Lucida Sans Unicode"/>
                <w:sz w:val="24"/>
                <w:lang w:val="en-US"/>
              </w:rPr>
            </w:pPr>
            <w:r>
              <w:rPr>
                <w:rFonts w:hint="eastAsia" w:ascii="宋体" w:hAnsi="宋体" w:eastAsia="宋体" w:cs="Lucida Sans Unicode"/>
                <w:sz w:val="24"/>
                <w:lang w:val="en-US" w:eastAsia="zh-CN"/>
              </w:rPr>
              <w:t>报价小写</w:t>
            </w:r>
          </w:p>
        </w:tc>
        <w:tc>
          <w:tcPr>
            <w:tcW w:w="6494" w:type="dxa"/>
            <w:tcBorders>
              <w:bottom w:val="single" w:color="auto" w:sz="4" w:space="0"/>
            </w:tcBorders>
            <w:vAlign w:val="center"/>
          </w:tcPr>
          <w:p w14:paraId="77948FC9">
            <w:pPr>
              <w:pStyle w:val="2"/>
              <w:tabs>
                <w:tab w:val="left" w:pos="5860"/>
              </w:tabs>
              <w:spacing w:before="139"/>
              <w:jc w:val="center"/>
              <w:rPr>
                <w:rFonts w:hint="default" w:ascii="宋体" w:hAnsi="宋体" w:eastAsia="宋体" w:cs="Lucida Sans Unicode"/>
                <w:sz w:val="24"/>
                <w:lang w:val="en-US" w:eastAsia="zh-CN"/>
              </w:rPr>
            </w:pPr>
            <w:r>
              <w:rPr>
                <w:rFonts w:hint="eastAsia" w:ascii="宋体" w:hAnsi="宋体" w:eastAsia="宋体" w:cs="Lucida Sans Unicode"/>
                <w:sz w:val="24"/>
                <w:u w:val="single"/>
                <w:lang w:val="en-US" w:eastAsia="zh-CN"/>
              </w:rPr>
              <w:t xml:space="preserve">¥             </w:t>
            </w:r>
            <w:r>
              <w:rPr>
                <w:rFonts w:hint="eastAsia" w:ascii="宋体" w:hAnsi="宋体" w:eastAsia="宋体" w:cs="Lucida Sans Unicode"/>
                <w:sz w:val="24"/>
                <w:lang w:val="en-US" w:eastAsia="zh-CN"/>
              </w:rPr>
              <w:t>元</w:t>
            </w:r>
          </w:p>
        </w:tc>
      </w:tr>
      <w:tr w14:paraId="1918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2596" w:type="dxa"/>
            <w:vAlign w:val="center"/>
          </w:tcPr>
          <w:p w14:paraId="4D198580">
            <w:pPr>
              <w:pStyle w:val="2"/>
              <w:tabs>
                <w:tab w:val="left" w:pos="5860"/>
              </w:tabs>
              <w:spacing w:before="139"/>
              <w:jc w:val="center"/>
              <w:rPr>
                <w:rFonts w:hint="eastAsia" w:ascii="宋体" w:hAnsi="宋体" w:eastAsia="宋体" w:cs="Lucida Sans Unicode"/>
                <w:sz w:val="24"/>
                <w:lang w:val="en-US" w:eastAsia="zh-CN"/>
              </w:rPr>
            </w:pPr>
            <w:r>
              <w:rPr>
                <w:rFonts w:hint="eastAsia" w:ascii="宋体" w:hAnsi="宋体" w:eastAsia="宋体" w:cs="Lucida Sans Unicode"/>
                <w:sz w:val="24"/>
                <w:lang w:val="en-US" w:eastAsia="zh-CN"/>
              </w:rPr>
              <w:t>报价大写</w:t>
            </w:r>
          </w:p>
        </w:tc>
        <w:tc>
          <w:tcPr>
            <w:tcW w:w="6494" w:type="dxa"/>
            <w:vAlign w:val="center"/>
          </w:tcPr>
          <w:p w14:paraId="5402D6DB">
            <w:pPr>
              <w:pStyle w:val="2"/>
              <w:tabs>
                <w:tab w:val="left" w:pos="5860"/>
              </w:tabs>
              <w:spacing w:before="139"/>
              <w:jc w:val="both"/>
              <w:rPr>
                <w:rFonts w:hint="eastAsia" w:ascii="宋体" w:hAnsi="宋体" w:eastAsia="宋体" w:cs="Lucida Sans Unicode"/>
                <w:sz w:val="24"/>
                <w:lang w:val="en-US" w:eastAsia="zh-CN"/>
              </w:rPr>
            </w:pPr>
          </w:p>
        </w:tc>
      </w:tr>
      <w:tr w14:paraId="0A81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3" w:hRule="atLeast"/>
          <w:jc w:val="center"/>
        </w:trPr>
        <w:tc>
          <w:tcPr>
            <w:tcW w:w="9090" w:type="dxa"/>
            <w:gridSpan w:val="2"/>
            <w:vAlign w:val="top"/>
          </w:tcPr>
          <w:p w14:paraId="2B82E10D">
            <w:pPr>
              <w:pStyle w:val="17"/>
              <w:ind w:left="0" w:leftChars="0" w:firstLine="0" w:firstLineChars="0"/>
              <w:jc w:val="both"/>
              <w:rPr>
                <w:rFonts w:hint="default" w:ascii="Times New Roman" w:hAnsi="Times New Roman" w:eastAsia="宋体" w:cs="Times New Roman"/>
                <w:kern w:val="2"/>
                <w:sz w:val="24"/>
                <w:highlight w:val="none"/>
                <w:lang w:val="en-US" w:eastAsia="zh-CN" w:bidi="ar-SA"/>
              </w:rPr>
            </w:pPr>
            <w:r>
              <w:rPr>
                <w:rFonts w:hint="default" w:ascii="Times New Roman" w:hAnsi="Times New Roman" w:eastAsia="宋体" w:cs="Times New Roman"/>
                <w:kern w:val="2"/>
                <w:sz w:val="24"/>
                <w:highlight w:val="none"/>
                <w:lang w:val="en-US" w:eastAsia="zh-CN" w:bidi="ar-SA"/>
              </w:rPr>
              <w:t>备注：</w:t>
            </w:r>
          </w:p>
        </w:tc>
      </w:tr>
    </w:tbl>
    <w:p w14:paraId="3910FFF8">
      <w:pPr>
        <w:pStyle w:val="2"/>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17"/>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8"/>
        <w:spacing w:line="360" w:lineRule="auto"/>
        <w:ind w:firstLine="480"/>
        <w:rPr>
          <w:rFonts w:hint="eastAsia" w:ascii="宋体" w:hAnsi="宋体" w:cs="Lucida Sans Unicode"/>
          <w:sz w:val="24"/>
          <w:lang w:val="en-US"/>
        </w:rPr>
      </w:pPr>
    </w:p>
    <w:p w14:paraId="78FB76C8">
      <w:pPr>
        <w:pStyle w:val="28"/>
        <w:spacing w:line="360" w:lineRule="auto"/>
        <w:ind w:firstLine="480"/>
        <w:rPr>
          <w:rFonts w:hint="eastAsia" w:ascii="宋体" w:hAnsi="宋体" w:cs="Lucida Sans Unicode"/>
          <w:sz w:val="24"/>
          <w:lang w:val="en-US"/>
        </w:rPr>
      </w:pPr>
    </w:p>
    <w:p w14:paraId="7476AC08">
      <w:pPr>
        <w:pStyle w:val="28"/>
        <w:spacing w:line="360" w:lineRule="auto"/>
        <w:ind w:firstLine="480"/>
        <w:rPr>
          <w:rFonts w:hint="eastAsia" w:ascii="宋体" w:hAnsi="宋体" w:cs="Lucida Sans Unicode"/>
          <w:sz w:val="24"/>
          <w:lang w:val="en-US" w:eastAsia="zh-CN"/>
        </w:rPr>
      </w:pPr>
      <w:r>
        <w:rPr>
          <w:rFonts w:hint="eastAsia" w:ascii="宋体" w:hAnsi="宋体" w:cs="Lucida Sans Unicode"/>
          <w:sz w:val="24"/>
          <w:lang w:val="en-US"/>
        </w:rPr>
        <w:t>说明：</w:t>
      </w:r>
      <w:r>
        <w:rPr>
          <w:rFonts w:hint="eastAsia" w:ascii="宋体" w:hAnsi="宋体" w:cs="Lucida Sans Unicode"/>
          <w:sz w:val="24"/>
          <w:lang w:val="en-US" w:eastAsia="zh-CN"/>
        </w:rPr>
        <w:t>报价为包干价，包含完成本项目全部设计工作所需的所有费用，包括但不限于设计费、计算费、差旅费、评审配合费、图纸打印费、税费及质保期服务费等。</w:t>
      </w:r>
    </w:p>
    <w:p w14:paraId="36EB3BD5">
      <w:pPr>
        <w:spacing w:beforeLines="100" w:afterLines="100"/>
        <w:jc w:val="center"/>
        <w:rPr>
          <w:rFonts w:hint="eastAsia" w:ascii="宋体" w:hAnsi="宋体" w:cs="Lucida Sans Unicode"/>
          <w:b/>
          <w:sz w:val="44"/>
          <w:szCs w:val="44"/>
        </w:rPr>
      </w:pPr>
      <w:r>
        <w:rPr>
          <w:rFonts w:hint="eastAsia" w:ascii="宋体" w:hAnsi="宋体" w:cs="Lucida Sans Unicode"/>
          <w:sz w:val="24"/>
          <w:lang w:val="en-US" w:eastAsia="zh-CN"/>
        </w:rPr>
        <w:br w:type="page"/>
      </w:r>
    </w:p>
    <w:p w14:paraId="2B3569BB">
      <w:pPr>
        <w:spacing w:line="560" w:lineRule="exact"/>
        <w:jc w:val="center"/>
        <w:rPr>
          <w:rFonts w:hint="eastAsia" w:ascii="宋体" w:hAnsi="宋体" w:cs="Lucida Sans Unicode"/>
          <w:b/>
          <w:sz w:val="44"/>
          <w:szCs w:val="44"/>
        </w:rPr>
      </w:pPr>
    </w:p>
    <w:p w14:paraId="02BD777D">
      <w:pPr>
        <w:spacing w:line="560" w:lineRule="exact"/>
        <w:jc w:val="center"/>
        <w:rPr>
          <w:rFonts w:hint="eastAsia" w:ascii="宋体" w:hAnsi="宋体" w:cs="Lucida Sans Unicode"/>
          <w:b/>
          <w:sz w:val="44"/>
          <w:szCs w:val="44"/>
          <w:lang w:val="en-US" w:eastAsia="zh-CN"/>
        </w:rPr>
      </w:pPr>
      <w:r>
        <w:rPr>
          <w:rFonts w:hint="eastAsia" w:ascii="宋体" w:hAnsi="宋体" w:cs="Lucida Sans Unicode"/>
          <w:b/>
          <w:sz w:val="44"/>
          <w:szCs w:val="44"/>
          <w:lang w:val="en-US" w:eastAsia="zh-CN"/>
        </w:rPr>
        <w:t>分项报价表</w:t>
      </w:r>
    </w:p>
    <w:p w14:paraId="549691CB">
      <w:pPr>
        <w:pStyle w:val="2"/>
        <w:tabs>
          <w:tab w:val="left" w:pos="5860"/>
        </w:tabs>
        <w:spacing w:before="139"/>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项目编号：CGB26048-HQ02</w:t>
      </w:r>
    </w:p>
    <w:p w14:paraId="020972FC">
      <w:pPr>
        <w:pStyle w:val="2"/>
        <w:tabs>
          <w:tab w:val="left" w:pos="5860"/>
        </w:tabs>
        <w:spacing w:before="139"/>
        <w:rPr>
          <w:rFonts w:hint="eastAsia" w:eastAsia="宋体"/>
          <w:lang w:val="en-US" w:eastAsia="zh-CN"/>
        </w:rPr>
      </w:pPr>
      <w:r>
        <w:rPr>
          <w:rFonts w:hint="eastAsia" w:ascii="宋体" w:hAnsi="宋体" w:eastAsia="宋体" w:cs="宋体"/>
          <w:bCs/>
          <w:kern w:val="2"/>
          <w:sz w:val="21"/>
          <w:szCs w:val="21"/>
          <w:highlight w:val="none"/>
          <w:lang w:val="en-US" w:eastAsia="zh-CN" w:bidi="ar-SA"/>
        </w:rPr>
        <w:t>采购项目名称：遵义医科大学第二附属医院医疗设备机房施工图设计服务项目</w:t>
      </w:r>
    </w:p>
    <w:p w14:paraId="07C823A7">
      <w:pPr>
        <w:pStyle w:val="18"/>
        <w:ind w:left="0" w:leftChars="0" w:firstLine="0" w:firstLineChars="0"/>
        <w:jc w:val="center"/>
        <w:rPr>
          <w:rFonts w:hint="eastAsia" w:ascii="宋体" w:hAnsi="宋体" w:eastAsia="宋体" w:cs="Lucida Sans Unicode"/>
          <w:b/>
          <w:bCs/>
          <w:color w:val="FF0000"/>
          <w:kern w:val="2"/>
          <w:sz w:val="22"/>
          <w:szCs w:val="22"/>
          <w:lang w:val="en-US" w:eastAsia="zh-CN" w:bidi="ar-SA"/>
        </w:rPr>
      </w:pPr>
      <w:r>
        <w:rPr>
          <w:rFonts w:hint="eastAsia" w:ascii="宋体" w:hAnsi="宋体" w:eastAsia="宋体" w:cs="Lucida Sans Unicode"/>
          <w:b/>
          <w:bCs/>
          <w:color w:val="FF0000"/>
          <w:kern w:val="2"/>
          <w:sz w:val="22"/>
          <w:szCs w:val="22"/>
          <w:lang w:val="en-US" w:eastAsia="zh-CN" w:bidi="ar-SA"/>
        </w:rPr>
        <w:t>（注：投标报价不能超过拦标总价，超过则视为无效标）</w:t>
      </w:r>
    </w:p>
    <w:tbl>
      <w:tblPr>
        <w:tblStyle w:val="19"/>
        <w:tblW w:w="7984" w:type="dxa"/>
        <w:jc w:val="center"/>
        <w:tblLayout w:type="autofit"/>
        <w:tblCellMar>
          <w:top w:w="0" w:type="dxa"/>
          <w:left w:w="108" w:type="dxa"/>
          <w:bottom w:w="0" w:type="dxa"/>
          <w:right w:w="108" w:type="dxa"/>
        </w:tblCellMar>
      </w:tblPr>
      <w:tblGrid>
        <w:gridCol w:w="710"/>
        <w:gridCol w:w="4105"/>
        <w:gridCol w:w="1497"/>
        <w:gridCol w:w="1672"/>
      </w:tblGrid>
      <w:tr w14:paraId="73B136E4">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E63ED">
            <w:pPr>
              <w:widowControl/>
              <w:snapToGrid w:val="0"/>
              <w:ind w:left="0" w:leftChars="0" w:right="0" w:rightChars="0" w:firstLine="0" w:firstLineChars="0"/>
              <w:jc w:val="center"/>
              <w:textAlignment w:val="center"/>
              <w:rPr>
                <w:rFonts w:ascii="Times New Roman" w:eastAsia="宋体"/>
                <w:b/>
                <w:bCs/>
                <w:color w:val="000000"/>
                <w:sz w:val="22"/>
                <w:szCs w:val="22"/>
              </w:rPr>
            </w:pPr>
            <w:r>
              <w:rPr>
                <w:rFonts w:ascii="Times New Roman" w:eastAsia="宋体"/>
                <w:b/>
                <w:bCs/>
                <w:color w:val="000000"/>
                <w:kern w:val="0"/>
                <w:sz w:val="22"/>
                <w:szCs w:val="22"/>
                <w:lang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9D516">
            <w:pPr>
              <w:widowControl/>
              <w:snapToGrid w:val="0"/>
              <w:ind w:left="0" w:leftChars="0" w:right="0" w:rightChars="0" w:firstLine="0" w:firstLineChars="0"/>
              <w:jc w:val="center"/>
              <w:textAlignment w:val="center"/>
              <w:rPr>
                <w:rFonts w:hint="default" w:ascii="Times New Roman" w:eastAsia="宋体"/>
                <w:b/>
                <w:bCs/>
                <w:color w:val="000000"/>
                <w:sz w:val="22"/>
                <w:szCs w:val="22"/>
                <w:lang w:val="en-US" w:eastAsia="zh-CN"/>
              </w:rPr>
            </w:pPr>
            <w:r>
              <w:rPr>
                <w:rFonts w:hint="eastAsia" w:eastAsia="宋体"/>
                <w:b/>
                <w:bCs/>
                <w:color w:val="000000"/>
                <w:sz w:val="22"/>
                <w:szCs w:val="22"/>
                <w:lang w:val="en-US" w:eastAsia="zh-CN"/>
              </w:rPr>
              <w:t>服务项目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D7D12">
            <w:pPr>
              <w:widowControl/>
              <w:snapToGrid w:val="0"/>
              <w:ind w:left="0" w:leftChars="0" w:right="0" w:rightChars="0" w:firstLine="0" w:firstLineChars="0"/>
              <w:jc w:val="center"/>
              <w:textAlignment w:val="center"/>
              <w:rPr>
                <w:rFonts w:hint="default" w:ascii="Times New Roman" w:eastAsia="宋体"/>
                <w:b/>
                <w:bCs/>
                <w:color w:val="000000"/>
                <w:kern w:val="0"/>
                <w:sz w:val="22"/>
                <w:szCs w:val="22"/>
                <w:lang w:val="en-US" w:eastAsia="zh-CN" w:bidi="ar"/>
              </w:rPr>
            </w:pPr>
            <w:r>
              <w:rPr>
                <w:rFonts w:hint="eastAsia" w:ascii="Times New Roman" w:eastAsia="宋体"/>
                <w:b/>
                <w:bCs/>
                <w:color w:val="000000"/>
                <w:kern w:val="0"/>
                <w:sz w:val="22"/>
                <w:szCs w:val="22"/>
                <w:lang w:val="en-US" w:eastAsia="zh-CN" w:bidi="ar"/>
              </w:rPr>
              <w:t>投标</w:t>
            </w:r>
            <w:r>
              <w:rPr>
                <w:rFonts w:hint="eastAsia" w:eastAsia="宋体"/>
                <w:b/>
                <w:bCs/>
                <w:color w:val="000000"/>
                <w:kern w:val="0"/>
                <w:sz w:val="22"/>
                <w:szCs w:val="22"/>
                <w:lang w:val="en-US" w:eastAsia="zh-CN" w:bidi="ar"/>
              </w:rPr>
              <w:t>报</w:t>
            </w:r>
            <w:r>
              <w:rPr>
                <w:rFonts w:hint="eastAsia" w:ascii="Times New Roman" w:eastAsia="宋体"/>
                <w:b/>
                <w:bCs/>
                <w:color w:val="000000"/>
                <w:kern w:val="0"/>
                <w:sz w:val="22"/>
                <w:szCs w:val="22"/>
                <w:lang w:val="en-US" w:eastAsia="zh-CN" w:bidi="ar"/>
              </w:rPr>
              <w:t>价/元</w:t>
            </w:r>
          </w:p>
        </w:tc>
        <w:tc>
          <w:tcPr>
            <w:tcW w:w="1672" w:type="dxa"/>
            <w:tcBorders>
              <w:top w:val="single" w:color="000000" w:sz="4" w:space="0"/>
              <w:left w:val="single" w:color="000000" w:sz="4" w:space="0"/>
              <w:bottom w:val="single" w:color="000000" w:sz="4" w:space="0"/>
              <w:right w:val="single" w:color="000000" w:sz="4" w:space="0"/>
            </w:tcBorders>
            <w:noWrap w:val="0"/>
            <w:vAlign w:val="center"/>
          </w:tcPr>
          <w:p w14:paraId="176165A3">
            <w:pPr>
              <w:widowControl/>
              <w:snapToGrid w:val="0"/>
              <w:ind w:left="0" w:leftChars="0" w:right="0" w:rightChars="0" w:firstLine="0" w:firstLineChars="0"/>
              <w:jc w:val="center"/>
              <w:textAlignment w:val="center"/>
              <w:rPr>
                <w:rFonts w:hint="default" w:ascii="Times New Roman" w:eastAsia="宋体"/>
                <w:b/>
                <w:sz w:val="22"/>
                <w:lang w:val="en-US" w:eastAsia="zh-CN"/>
              </w:rPr>
            </w:pPr>
            <w:r>
              <w:rPr>
                <w:rFonts w:hint="eastAsia" w:ascii="Times New Roman" w:eastAsia="宋体"/>
                <w:b/>
                <w:bCs/>
                <w:color w:val="000000"/>
                <w:kern w:val="0"/>
                <w:sz w:val="22"/>
                <w:szCs w:val="22"/>
                <w:lang w:val="en-US" w:eastAsia="zh-CN" w:bidi="ar"/>
              </w:rPr>
              <w:t>备注</w:t>
            </w:r>
          </w:p>
        </w:tc>
      </w:tr>
      <w:tr w14:paraId="30508335">
        <w:tblPrEx>
          <w:tblCellMar>
            <w:top w:w="0" w:type="dxa"/>
            <w:left w:w="108" w:type="dxa"/>
            <w:bottom w:w="0" w:type="dxa"/>
            <w:right w:w="108" w:type="dxa"/>
          </w:tblCellMar>
        </w:tblPrEx>
        <w:trPr>
          <w:trHeight w:val="688"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2A87A7">
            <w:pPr>
              <w:pStyle w:val="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kern w:val="2"/>
                <w:sz w:val="18"/>
                <w:szCs w:val="24"/>
                <w:vertAlign w:val="baseline"/>
                <w:lang w:val="en-US" w:eastAsia="zh-CN" w:bidi="ar-SA"/>
              </w:rPr>
            </w:pPr>
            <w:r>
              <w:rPr>
                <w:rFonts w:hint="eastAsia" w:ascii="宋体" w:hAnsi="宋体" w:eastAsia="宋体" w:cs="宋体"/>
                <w:b w:val="0"/>
                <w:bCs/>
                <w:sz w:val="18"/>
                <w:szCs w:val="24"/>
                <w:vertAlign w:val="baseline"/>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0EEC5">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肿瘤放射治疗科直线加速器机房</w:t>
            </w:r>
            <w:r>
              <w:rPr>
                <w:rFonts w:hint="eastAsia" w:ascii="宋体" w:hAnsi="宋体" w:eastAsia="宋体" w:cs="宋体"/>
                <w:bCs/>
                <w:kern w:val="2"/>
                <w:sz w:val="18"/>
                <w:szCs w:val="21"/>
                <w:highlight w:val="none"/>
                <w:lang w:val="en-US" w:eastAsia="zh-CN" w:bidi="ar-SA"/>
              </w:rPr>
              <w:t>施工图设计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B2BD1">
            <w:pPr>
              <w:pStyle w:val="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宋体" w:hAnsi="宋体" w:eastAsia="宋体" w:cs="宋体"/>
                <w:i w:val="0"/>
                <w:iCs w:val="0"/>
                <w:color w:val="000000"/>
                <w:kern w:val="0"/>
                <w:sz w:val="18"/>
                <w:szCs w:val="18"/>
                <w:u w:val="none"/>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noWrap w:val="0"/>
            <w:vAlign w:val="center"/>
          </w:tcPr>
          <w:p w14:paraId="03366289">
            <w:pPr>
              <w:keepNext w:val="0"/>
              <w:keepLines w:val="0"/>
              <w:widowControl/>
              <w:suppressLineNumbers w:val="0"/>
              <w:snapToGrid w:val="0"/>
              <w:ind w:left="0" w:leftChars="0" w:right="0" w:rightChars="0" w:firstLine="0" w:firstLineChars="0"/>
              <w:jc w:val="right"/>
              <w:textAlignment w:val="center"/>
              <w:rPr>
                <w:rFonts w:hint="default" w:ascii="宋体" w:hAnsi="宋体" w:eastAsia="宋体" w:cs="宋体"/>
                <w:color w:val="000000"/>
                <w:kern w:val="0"/>
                <w:sz w:val="18"/>
                <w:szCs w:val="18"/>
                <w:lang w:val="en-US" w:eastAsia="zh-CN" w:bidi="ar"/>
              </w:rPr>
            </w:pPr>
          </w:p>
        </w:tc>
      </w:tr>
      <w:tr w14:paraId="49597E2E">
        <w:tblPrEx>
          <w:tblCellMar>
            <w:top w:w="0" w:type="dxa"/>
            <w:left w:w="108" w:type="dxa"/>
            <w:bottom w:w="0" w:type="dxa"/>
            <w:right w:w="108" w:type="dxa"/>
          </w:tblCellMar>
        </w:tblPrEx>
        <w:trPr>
          <w:trHeight w:val="86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825245">
            <w:pPr>
              <w:pStyle w:val="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kern w:val="2"/>
                <w:sz w:val="18"/>
                <w:szCs w:val="24"/>
                <w:vertAlign w:val="baseline"/>
                <w:lang w:val="en-US" w:eastAsia="zh-CN" w:bidi="ar-SA"/>
              </w:rPr>
            </w:pPr>
            <w:r>
              <w:rPr>
                <w:rFonts w:hint="eastAsia" w:ascii="宋体" w:hAnsi="宋体" w:eastAsia="宋体" w:cs="宋体"/>
                <w:b w:val="0"/>
                <w:bCs/>
                <w:sz w:val="18"/>
                <w:szCs w:val="24"/>
                <w:vertAlign w:val="baseline"/>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426B9">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CT模拟定位机机房</w:t>
            </w:r>
            <w:r>
              <w:rPr>
                <w:rFonts w:hint="eastAsia" w:ascii="宋体" w:hAnsi="宋体" w:eastAsia="宋体" w:cs="宋体"/>
                <w:bCs/>
                <w:kern w:val="2"/>
                <w:sz w:val="18"/>
                <w:szCs w:val="21"/>
                <w:highlight w:val="none"/>
                <w:lang w:val="en-US" w:eastAsia="zh-CN" w:bidi="ar-SA"/>
              </w:rPr>
              <w:t>施工图设计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D9290">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noWrap w:val="0"/>
            <w:vAlign w:val="center"/>
          </w:tcPr>
          <w:p w14:paraId="2D7D4402">
            <w:pPr>
              <w:keepNext w:val="0"/>
              <w:keepLines w:val="0"/>
              <w:widowControl/>
              <w:suppressLineNumbers w:val="0"/>
              <w:snapToGrid w:val="0"/>
              <w:ind w:left="0" w:leftChars="0" w:right="0" w:rightChars="0" w:firstLine="0" w:firstLineChars="0"/>
              <w:jc w:val="right"/>
              <w:textAlignment w:val="center"/>
              <w:rPr>
                <w:rFonts w:hint="default" w:ascii="宋体" w:hAnsi="宋体" w:eastAsia="宋体" w:cs="宋体"/>
                <w:color w:val="000000"/>
                <w:kern w:val="0"/>
                <w:sz w:val="18"/>
                <w:szCs w:val="18"/>
                <w:lang w:val="en-US" w:eastAsia="zh-CN" w:bidi="ar"/>
              </w:rPr>
            </w:pPr>
          </w:p>
        </w:tc>
      </w:tr>
      <w:tr w14:paraId="777D741A">
        <w:tblPrEx>
          <w:tblCellMar>
            <w:top w:w="0" w:type="dxa"/>
            <w:left w:w="108" w:type="dxa"/>
            <w:bottom w:w="0" w:type="dxa"/>
            <w:right w:w="108" w:type="dxa"/>
          </w:tblCellMar>
        </w:tblPrEx>
        <w:trPr>
          <w:trHeight w:val="898"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DAEFD8">
            <w:pPr>
              <w:pStyle w:val="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kern w:val="2"/>
                <w:sz w:val="18"/>
                <w:szCs w:val="24"/>
                <w:vertAlign w:val="baseline"/>
                <w:lang w:val="en-US" w:eastAsia="zh-CN" w:bidi="ar-SA"/>
              </w:rPr>
            </w:pPr>
            <w:r>
              <w:rPr>
                <w:rFonts w:hint="eastAsia" w:ascii="宋体" w:hAnsi="宋体" w:eastAsia="宋体" w:cs="宋体"/>
                <w:b w:val="0"/>
                <w:bCs/>
                <w:sz w:val="18"/>
                <w:szCs w:val="24"/>
                <w:vertAlign w:val="baseline"/>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238ED">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模拟定位机机房施工图设计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81AAC">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18"/>
                <w:szCs w:val="18"/>
                <w:u w:val="none"/>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noWrap w:val="0"/>
            <w:vAlign w:val="center"/>
          </w:tcPr>
          <w:p w14:paraId="0C5F170A">
            <w:pPr>
              <w:keepNext w:val="0"/>
              <w:keepLines w:val="0"/>
              <w:widowControl/>
              <w:suppressLineNumbers w:val="0"/>
              <w:snapToGrid w:val="0"/>
              <w:ind w:left="0" w:leftChars="0" w:right="0" w:rightChars="0" w:firstLine="0" w:firstLineChars="0"/>
              <w:jc w:val="right"/>
              <w:textAlignment w:val="center"/>
              <w:rPr>
                <w:rFonts w:hint="default" w:ascii="宋体" w:hAnsi="宋体" w:eastAsia="宋体" w:cs="宋体"/>
                <w:color w:val="000000"/>
                <w:kern w:val="0"/>
                <w:sz w:val="18"/>
                <w:szCs w:val="18"/>
                <w:lang w:val="en-US" w:eastAsia="zh-CN" w:bidi="ar"/>
              </w:rPr>
            </w:pPr>
          </w:p>
        </w:tc>
      </w:tr>
      <w:tr w14:paraId="01641BC3">
        <w:tblPrEx>
          <w:tblCellMar>
            <w:top w:w="0" w:type="dxa"/>
            <w:left w:w="108" w:type="dxa"/>
            <w:bottom w:w="0" w:type="dxa"/>
            <w:right w:w="108" w:type="dxa"/>
          </w:tblCellMar>
        </w:tblPrEx>
        <w:trPr>
          <w:trHeight w:val="0"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14:paraId="4C74777A">
            <w:pPr>
              <w:widowControl/>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p>
        </w:tc>
        <w:tc>
          <w:tcPr>
            <w:tcW w:w="4105" w:type="dxa"/>
            <w:tcBorders>
              <w:top w:val="single" w:color="000000" w:sz="4" w:space="0"/>
              <w:left w:val="single" w:color="000000" w:sz="4" w:space="0"/>
              <w:bottom w:val="single" w:color="000000" w:sz="4" w:space="0"/>
              <w:right w:val="single" w:color="000000" w:sz="4" w:space="0"/>
            </w:tcBorders>
            <w:noWrap w:val="0"/>
            <w:vAlign w:val="center"/>
          </w:tcPr>
          <w:p w14:paraId="7F5FD66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sz w:val="18"/>
                <w:szCs w:val="24"/>
                <w:vertAlign w:val="baseline"/>
                <w:lang w:val="en-US" w:eastAsia="zh-CN"/>
              </w:rPr>
            </w:pPr>
            <w:r>
              <w:rPr>
                <w:rFonts w:hint="eastAsia" w:ascii="宋体" w:hAnsi="宋体" w:eastAsia="宋体" w:cs="宋体"/>
                <w:b/>
                <w:bCs w:val="0"/>
                <w:sz w:val="18"/>
                <w:szCs w:val="24"/>
                <w:vertAlign w:val="baseline"/>
                <w:lang w:val="en-US" w:eastAsia="zh-CN"/>
              </w:rPr>
              <w:t>合计</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038A83BF">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b/>
                <w:color w:val="000000"/>
                <w:kern w:val="0"/>
                <w:sz w:val="18"/>
                <w:szCs w:val="18"/>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noWrap w:val="0"/>
            <w:vAlign w:val="center"/>
          </w:tcPr>
          <w:p w14:paraId="3B85853F">
            <w:pPr>
              <w:keepNext w:val="0"/>
              <w:keepLines w:val="0"/>
              <w:widowControl/>
              <w:suppressLineNumbers w:val="0"/>
              <w:snapToGrid w:val="0"/>
              <w:ind w:left="0" w:leftChars="0" w:right="0" w:rightChars="0" w:firstLine="0" w:firstLineChars="0"/>
              <w:jc w:val="right"/>
              <w:textAlignment w:val="center"/>
              <w:rPr>
                <w:rFonts w:hint="default" w:ascii="宋体" w:hAnsi="宋体" w:eastAsia="宋体" w:cs="宋体"/>
                <w:b/>
                <w:color w:val="000000"/>
                <w:kern w:val="0"/>
                <w:sz w:val="18"/>
                <w:szCs w:val="18"/>
                <w:lang w:val="en-US" w:eastAsia="zh-CN" w:bidi="ar"/>
              </w:rPr>
            </w:pPr>
          </w:p>
        </w:tc>
      </w:tr>
    </w:tbl>
    <w:p w14:paraId="0EF532BC">
      <w:pPr>
        <w:spacing w:line="560" w:lineRule="exact"/>
        <w:jc w:val="both"/>
        <w:rPr>
          <w:rFonts w:hint="default" w:ascii="宋体" w:hAnsi="宋体" w:eastAsia="宋体" w:cs="Lucida Sans Unicode"/>
          <w:b/>
          <w:sz w:val="44"/>
          <w:szCs w:val="44"/>
          <w:lang w:val="en-US" w:eastAsia="zh-CN"/>
        </w:rPr>
      </w:pPr>
    </w:p>
    <w:p w14:paraId="5A66FF98">
      <w:pPr>
        <w:spacing w:line="560" w:lineRule="exact"/>
        <w:jc w:val="center"/>
        <w:rPr>
          <w:rFonts w:hint="eastAsia" w:ascii="宋体" w:hAnsi="宋体" w:cs="Lucida Sans Unicode"/>
          <w:b/>
          <w:sz w:val="44"/>
          <w:szCs w:val="44"/>
        </w:rPr>
      </w:pPr>
    </w:p>
    <w:p w14:paraId="76B4ECCB">
      <w:pPr>
        <w:spacing w:line="560" w:lineRule="exact"/>
        <w:jc w:val="center"/>
        <w:rPr>
          <w:rFonts w:hint="eastAsia" w:ascii="宋体" w:hAnsi="宋体" w:cs="Lucida Sans Unicode"/>
          <w:b/>
          <w:sz w:val="44"/>
          <w:szCs w:val="44"/>
        </w:rPr>
      </w:pPr>
    </w:p>
    <w:p w14:paraId="256ACD13">
      <w:pPr>
        <w:spacing w:line="560" w:lineRule="exact"/>
        <w:jc w:val="center"/>
        <w:rPr>
          <w:rFonts w:hint="eastAsia" w:ascii="宋体" w:hAnsi="宋体" w:cs="Lucida Sans Unicode"/>
          <w:b/>
          <w:sz w:val="44"/>
          <w:szCs w:val="44"/>
        </w:rPr>
      </w:pPr>
    </w:p>
    <w:p w14:paraId="5864833A">
      <w:pPr>
        <w:spacing w:line="560" w:lineRule="exact"/>
        <w:jc w:val="center"/>
        <w:rPr>
          <w:rFonts w:hint="eastAsia" w:ascii="宋体" w:hAnsi="宋体" w:cs="Lucida Sans Unicode"/>
          <w:b/>
          <w:sz w:val="44"/>
          <w:szCs w:val="44"/>
        </w:rPr>
      </w:pPr>
    </w:p>
    <w:p w14:paraId="6E3E22F7">
      <w:pPr>
        <w:spacing w:line="560" w:lineRule="exact"/>
        <w:jc w:val="center"/>
        <w:rPr>
          <w:rFonts w:hint="eastAsia" w:ascii="宋体" w:hAnsi="宋体" w:cs="Lucida Sans Unicode"/>
          <w:b/>
          <w:sz w:val="44"/>
          <w:szCs w:val="44"/>
        </w:rPr>
      </w:pPr>
    </w:p>
    <w:p w14:paraId="0E219191">
      <w:pPr>
        <w:spacing w:line="560" w:lineRule="exact"/>
        <w:jc w:val="center"/>
        <w:rPr>
          <w:rFonts w:hint="eastAsia" w:ascii="宋体" w:hAnsi="宋体" w:cs="Lucida Sans Unicode"/>
          <w:b/>
          <w:sz w:val="44"/>
          <w:szCs w:val="44"/>
        </w:rPr>
      </w:pPr>
    </w:p>
    <w:p w14:paraId="4F50655B">
      <w:pPr>
        <w:spacing w:line="560" w:lineRule="exact"/>
        <w:jc w:val="center"/>
        <w:rPr>
          <w:rFonts w:hint="eastAsia" w:ascii="宋体" w:hAnsi="宋体" w:cs="Lucida Sans Unicode"/>
          <w:b/>
          <w:sz w:val="44"/>
          <w:szCs w:val="44"/>
        </w:rPr>
      </w:pPr>
    </w:p>
    <w:p w14:paraId="373A6F0F">
      <w:pPr>
        <w:spacing w:line="560" w:lineRule="exact"/>
        <w:jc w:val="center"/>
        <w:rPr>
          <w:rFonts w:hint="eastAsia" w:ascii="宋体" w:hAnsi="宋体" w:cs="Lucida Sans Unicode"/>
          <w:b/>
          <w:sz w:val="44"/>
          <w:szCs w:val="44"/>
        </w:rPr>
      </w:pPr>
    </w:p>
    <w:p w14:paraId="0C88E352">
      <w:pPr>
        <w:spacing w:line="560" w:lineRule="exact"/>
        <w:jc w:val="center"/>
        <w:rPr>
          <w:rFonts w:hint="eastAsia" w:ascii="宋体" w:hAnsi="宋体" w:cs="Lucida Sans Unicode"/>
          <w:b/>
          <w:sz w:val="44"/>
          <w:szCs w:val="44"/>
        </w:rPr>
      </w:pPr>
    </w:p>
    <w:p w14:paraId="33917FEA">
      <w:pPr>
        <w:spacing w:line="560" w:lineRule="exact"/>
        <w:jc w:val="center"/>
        <w:rPr>
          <w:rFonts w:hint="eastAsia" w:ascii="宋体" w:hAnsi="宋体" w:cs="Lucida Sans Unicode"/>
          <w:b/>
          <w:sz w:val="44"/>
          <w:szCs w:val="44"/>
        </w:rPr>
      </w:pPr>
    </w:p>
    <w:p w14:paraId="0DE200E0">
      <w:pPr>
        <w:spacing w:line="560" w:lineRule="exact"/>
        <w:jc w:val="center"/>
        <w:rPr>
          <w:rFonts w:hint="eastAsia" w:ascii="宋体" w:hAnsi="宋体" w:cs="Lucida Sans Unicode"/>
          <w:b/>
          <w:sz w:val="44"/>
          <w:szCs w:val="44"/>
        </w:rPr>
      </w:pPr>
    </w:p>
    <w:p w14:paraId="16BF1A64">
      <w:pPr>
        <w:spacing w:line="560" w:lineRule="exact"/>
        <w:jc w:val="center"/>
        <w:rPr>
          <w:rFonts w:hint="eastAsia" w:ascii="宋体" w:hAnsi="宋体" w:cs="Lucida Sans Unicode"/>
          <w:b/>
          <w:sz w:val="44"/>
          <w:szCs w:val="44"/>
        </w:rPr>
      </w:pPr>
    </w:p>
    <w:p w14:paraId="3202177F">
      <w:pPr>
        <w:spacing w:line="560" w:lineRule="exact"/>
        <w:jc w:val="center"/>
        <w:rPr>
          <w:rFonts w:hint="eastAsia" w:ascii="宋体" w:hAnsi="宋体" w:cs="Lucida Sans Unicode"/>
          <w:b/>
          <w:sz w:val="44"/>
          <w:szCs w:val="44"/>
        </w:rPr>
      </w:pPr>
    </w:p>
    <w:p w14:paraId="237F4EE0">
      <w:pPr>
        <w:spacing w:line="560" w:lineRule="exact"/>
        <w:jc w:val="both"/>
        <w:rPr>
          <w:rFonts w:hint="eastAsia" w:ascii="宋体" w:hAnsi="宋体" w:cs="Lucida Sans Unicode"/>
          <w:b/>
          <w:sz w:val="44"/>
          <w:szCs w:val="44"/>
        </w:rPr>
      </w:pP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遵义医科大学第二附属医院医疗设备机房施工图设计服务项目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CGB26048-HQ02</w:t>
      </w:r>
      <w:r>
        <w:rPr>
          <w:rFonts w:hint="eastAsia" w:ascii="宋体" w:hAnsi="宋体" w:cs="Lucida Sans Unicode"/>
          <w:sz w:val="24"/>
        </w:rPr>
        <w:t>）的投标签署</w:t>
      </w:r>
      <w:r>
        <w:rPr>
          <w:rFonts w:hint="eastAsia" w:ascii="宋体" w:hAnsi="宋体" w:cs="Lucida Sans Unicode"/>
          <w:sz w:val="24"/>
          <w:lang w:eastAsia="zh-CN"/>
        </w:rPr>
        <w:t>议价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1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w:t>
      </w:r>
      <w:r>
        <w:rPr>
          <w:rFonts w:hint="eastAsia" w:ascii="宋体" w:hAnsi="宋体" w:cs="Lucida Sans Unicode"/>
          <w:sz w:val="24"/>
          <w:lang w:eastAsia="zh-CN"/>
        </w:rPr>
        <w:t>采购</w:t>
      </w:r>
      <w:r>
        <w:rPr>
          <w:rFonts w:hint="eastAsia" w:ascii="宋体" w:hAnsi="宋体" w:cs="Lucida Sans Unicode"/>
          <w:sz w:val="24"/>
        </w:rPr>
        <w:t>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遵义医科大学第二附属医院医疗设备机房施工图设计服务项目</w:t>
      </w:r>
      <w:r>
        <w:rPr>
          <w:rFonts w:hint="eastAsia" w:ascii="宋体" w:hAnsi="宋体" w:cs="Lucida Sans Unicode"/>
          <w:sz w:val="24"/>
        </w:rPr>
        <w:t>（项目编号</w:t>
      </w:r>
      <w:r>
        <w:rPr>
          <w:rFonts w:hint="eastAsia" w:ascii="宋体" w:hAnsi="宋体" w:cs="Lucida Sans Unicode"/>
          <w:sz w:val="24"/>
          <w:lang w:val="en-US" w:eastAsia="zh-CN"/>
        </w:rPr>
        <w:t>CGB26048-HQ02</w:t>
      </w:r>
      <w:r>
        <w:rPr>
          <w:rFonts w:hint="eastAsia" w:ascii="宋体" w:hAnsi="宋体" w:cs="Lucida Sans Unicode"/>
          <w:sz w:val="24"/>
        </w:rPr>
        <w:t>）的</w:t>
      </w:r>
      <w:r>
        <w:rPr>
          <w:rFonts w:hint="eastAsia" w:ascii="宋体" w:hAnsi="宋体" w:cs="Lucida Sans Unicode"/>
          <w:sz w:val="24"/>
          <w:lang w:eastAsia="zh-CN"/>
        </w:rPr>
        <w:t>议价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19"/>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292CF215">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 提供法人或其他组织的营业执照复印件（多证合一）。</w:t>
      </w:r>
    </w:p>
    <w:p w14:paraId="62C0F4D1">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 提供近1年经审计的财务报告或财务报表（财务报表应包括：资产负债表、损益表、现金流量表）；新成立的公司、部分其他组织，没有经审计的财务报告提供基本开户银行出具的有效资信证明，加盖公章。</w:t>
      </w:r>
    </w:p>
    <w:p w14:paraId="7069CCD0">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 ①提供2025年5月至今任意1个月缴纳税收的凭据或证明材料（依法免税的，提供有效的证明文件）。</w:t>
      </w:r>
    </w:p>
    <w:p w14:paraId="25F21BFB">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②提供2025年5月至今任意1个月社会保障资金缴纳证明材料（不需要缴纳社保资金的，提供有效的证明文件）。</w:t>
      </w:r>
    </w:p>
    <w:p w14:paraId="09FD0627">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21982BA3">
      <w:pPr>
        <w:rPr>
          <w:rFonts w:hint="eastAsia" w:ascii="宋体" w:hAnsi="宋体" w:cs="Lucida Sans Unicode"/>
          <w:color w:val="FF0000"/>
          <w:sz w:val="24"/>
          <w:lang w:val="en-US" w:eastAsia="zh-CN"/>
        </w:rPr>
      </w:pPr>
    </w:p>
    <w:p w14:paraId="15161AA1">
      <w:pPr>
        <w:pStyle w:val="2"/>
        <w:rPr>
          <w:rFonts w:hint="eastAsia" w:ascii="宋体" w:hAnsi="宋体" w:cs="Lucida Sans Unicode"/>
          <w:color w:val="FF0000"/>
          <w:sz w:val="24"/>
          <w:lang w:val="en-US" w:eastAsia="zh-CN"/>
        </w:rPr>
      </w:pPr>
    </w:p>
    <w:p w14:paraId="308BF0FD">
      <w:pPr>
        <w:pStyle w:val="17"/>
        <w:rPr>
          <w:rFonts w:hint="eastAsia" w:ascii="宋体" w:hAnsi="宋体" w:cs="Lucida Sans Unicode"/>
          <w:color w:val="FF0000"/>
          <w:sz w:val="24"/>
          <w:lang w:val="en-US" w:eastAsia="zh-CN"/>
        </w:rPr>
      </w:pPr>
    </w:p>
    <w:p w14:paraId="4ABFFC15">
      <w:pPr>
        <w:rPr>
          <w:rFonts w:hint="eastAsia"/>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6"/>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6"/>
        <w:numPr>
          <w:ilvl w:val="0"/>
          <w:numId w:val="4"/>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751090C5">
      <w:pPr>
        <w:pStyle w:val="26"/>
        <w:numPr>
          <w:ilvl w:val="0"/>
          <w:numId w:val="4"/>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代理商营业执照要求登录“国家企业信用信息公示系统”等官方查询平台，打印该系统网页显示的投标公司信息并加盖公章，应包含但不限于：①营业执照信息②股东及出资信息③主要人员信息④变更信息⑤行政处罚信息⑥纳入经营异常名录信息⑦纳入严重违法失信企业名单（黑名单）信息等信息。</w:t>
      </w:r>
    </w:p>
    <w:p w14:paraId="5968540A">
      <w:pPr>
        <w:pStyle w:val="26"/>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br w:type="page"/>
      </w: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9</w:t>
      </w:r>
      <w:r>
        <w:rPr>
          <w:rFonts w:hint="eastAsia" w:ascii="宋体" w:hAnsi="宋体" w:cs="Lucida Sans Unicode"/>
          <w:color w:val="FF0000"/>
          <w:sz w:val="24"/>
        </w:rPr>
        <w:t>（必须提供）</w:t>
      </w:r>
    </w:p>
    <w:p w14:paraId="52BC2607">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479B8095">
      <w:pPr>
        <w:snapToGrid w:val="0"/>
        <w:spacing w:beforeAutospacing="0" w:line="360" w:lineRule="auto"/>
        <w:rPr>
          <w:rFonts w:hint="eastAsia" w:ascii="宋体" w:hAnsi="宋体" w:cs="宋体"/>
          <w:sz w:val="24"/>
          <w:szCs w:val="32"/>
          <w:highlight w:val="none"/>
        </w:rPr>
      </w:pP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6507"/>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7A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报价为包干价，</w:t>
            </w:r>
            <w:r>
              <w:rPr>
                <w:rFonts w:hint="eastAsia" w:ascii="宋体" w:hAnsi="宋体" w:cs="宋体"/>
                <w:i w:val="0"/>
                <w:iCs w:val="0"/>
                <w:color w:val="000000"/>
                <w:sz w:val="22"/>
                <w:szCs w:val="22"/>
                <w:u w:val="none"/>
                <w:lang w:val="en-US" w:eastAsia="zh-CN"/>
              </w:rPr>
              <w:t>包含</w:t>
            </w:r>
            <w:r>
              <w:rPr>
                <w:rFonts w:hint="eastAsia" w:ascii="宋体" w:hAnsi="宋体" w:eastAsia="宋体" w:cs="宋体"/>
                <w:i w:val="0"/>
                <w:iCs w:val="0"/>
                <w:color w:val="000000"/>
                <w:sz w:val="22"/>
                <w:szCs w:val="22"/>
                <w:u w:val="none"/>
                <w:lang w:val="en-US" w:eastAsia="zh-CN"/>
              </w:rPr>
              <w:t>完成本项目全部设计工作所需的所有费用，包括但不限于设计费、计算费、差旅费、评审配合费、图纸打印费、税费及质保期服务费等</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D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作为设计责任方，协助医院完成后期技术支持工作，提供设计符合性说明材料，施工过程中积极到场配合，配合相关部门开展施工图审查、消防设计审查，控评环评等工作，直至项目通过全部验收环节并取得正式验收文件</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3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交付的设计相关成果需满足“可追溯、可复用”要求，提交全套设计文件，确保医院能够独立应用设计成果</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合同签订后30个工作日内完成全部工作并提交正式图纸</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705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3E43">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5</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A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提供全过程技术咨询服务，配合采购人完成相关部门的审查和验收工作</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14E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2C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9912">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6</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3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对图纸的真实性、准确性和合法性负责，如因图纸质里问题导致审批不通过，供应商应免费修改直至通过审批，并承担由此给采购人造成的损失</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C90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7</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完成合同约定的全部服务内容，且采购人对服务质量无异议</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8</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同意院方的付款方式：以人民币进行结算，完成全部图纸设计、图纸送审合格后，中标方开具有效发票，采购人60个工作日内支付至指定账户</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9</w:t>
            </w:r>
          </w:p>
        </w:tc>
        <w:tc>
          <w:tcPr>
            <w:tcW w:w="6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知晓并同意采购方文件要求的其他条款</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446C8E59">
      <w:pPr>
        <w:snapToGrid w:val="0"/>
        <w:spacing w:beforeAutospacing="0" w:line="360" w:lineRule="auto"/>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0</w:t>
      </w:r>
      <w:r>
        <w:rPr>
          <w:rFonts w:hint="eastAsia" w:ascii="宋体" w:hAnsi="宋体" w:cs="Lucida Sans Unicode"/>
          <w:color w:val="FF0000"/>
          <w:sz w:val="24"/>
        </w:rPr>
        <w:t>（必须提供）</w:t>
      </w:r>
    </w:p>
    <w:p w14:paraId="60F9D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1"/>
          <w:b/>
          <w:bCs/>
          <w:color w:val="000000"/>
          <w:sz w:val="24"/>
          <w:szCs w:val="24"/>
        </w:rPr>
        <w:t>依法参与投标</w:t>
      </w:r>
      <w:r>
        <w:rPr>
          <w:color w:val="000000"/>
          <w:sz w:val="24"/>
          <w:szCs w:val="24"/>
        </w:rPr>
        <w:t>：我单位将严格遵守《中华人民共和国政府采购法》《中华人民共和国</w:t>
      </w:r>
      <w:r>
        <w:rPr>
          <w:rFonts w:hint="eastAsia"/>
          <w:color w:val="000000"/>
          <w:sz w:val="24"/>
          <w:szCs w:val="24"/>
          <w:lang w:eastAsia="zh-CN"/>
        </w:rPr>
        <w:t>采购</w:t>
      </w:r>
      <w:r>
        <w:rPr>
          <w:color w:val="000000"/>
          <w:sz w:val="24"/>
          <w:szCs w:val="24"/>
        </w:rPr>
        <w:t>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5A586FF2">
      <w:pPr>
        <w:pStyle w:val="18"/>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306395D1">
      <w:pPr>
        <w:pStyle w:val="2"/>
        <w:rPr>
          <w:rFonts w:hint="eastAsia" w:ascii="宋体" w:hAnsi="宋体" w:eastAsia="宋体" w:cs="宋体"/>
          <w:b/>
          <w:bCs/>
          <w:color w:val="auto"/>
          <w:sz w:val="30"/>
          <w:szCs w:val="30"/>
          <w:highlight w:val="none"/>
        </w:rPr>
      </w:pPr>
    </w:p>
    <w:p w14:paraId="0073A245">
      <w:pPr>
        <w:pStyle w:val="3"/>
        <w:rPr>
          <w:rFonts w:hint="eastAsia" w:ascii="宋体" w:hAnsi="宋体" w:eastAsia="宋体" w:cs="宋体"/>
          <w:b/>
          <w:bCs/>
          <w:color w:val="auto"/>
          <w:sz w:val="30"/>
          <w:szCs w:val="30"/>
          <w:highlight w:val="none"/>
        </w:rPr>
      </w:pPr>
    </w:p>
    <w:p w14:paraId="15373259">
      <w:pPr>
        <w:snapToGrid w:val="0"/>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E16628B">
      <w:pPr>
        <w:rPr>
          <w:rFonts w:hint="eastAsia"/>
        </w:rPr>
      </w:pPr>
    </w:p>
    <w:p w14:paraId="48396682">
      <w:pPr>
        <w:pStyle w:val="18"/>
        <w:ind w:firstLine="0" w:firstLineChars="0"/>
        <w:rPr>
          <w:rFonts w:hint="eastAsia" w:ascii="宋体" w:hAnsi="宋体" w:eastAsia="宋体" w:cs="Lucida Sans Unicode"/>
        </w:rPr>
      </w:pPr>
      <w:r>
        <w:rPr>
          <w:rFonts w:hint="eastAsia" w:ascii="宋体" w:hAnsi="宋体" w:eastAsia="宋体" w:cs="Lucida Sans Unicode"/>
        </w:rPr>
        <w:t>附：</w:t>
      </w:r>
    </w:p>
    <w:p w14:paraId="6214813F">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1.工程设计建筑行业（建筑工程）乙级及以上资质证书。</w:t>
      </w:r>
    </w:p>
    <w:p w14:paraId="208A6051">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ind w:firstLine="480" w:firstLineChars="200"/>
        <w:jc w:val="left"/>
        <w:textAlignment w:val="auto"/>
        <w:rPr>
          <w:rFonts w:hint="eastAsia" w:ascii="宋体" w:hAnsi="宋体" w:eastAsia="宋体" w:cs="Lucida Sans Unicode"/>
          <w:kern w:val="2"/>
          <w:sz w:val="24"/>
          <w:szCs w:val="24"/>
          <w:lang w:val="en-US" w:eastAsia="zh-CN" w:bidi="ar-SA"/>
        </w:rPr>
      </w:pPr>
      <w:r>
        <w:rPr>
          <w:rFonts w:hint="eastAsia" w:ascii="宋体" w:hAnsi="宋体" w:eastAsia="宋体" w:cs="宋体"/>
          <w:sz w:val="24"/>
          <w:szCs w:val="24"/>
          <w:lang w:val="en-US" w:eastAsia="zh-CN"/>
        </w:rPr>
        <w:t>2.项目设计负责人国家注册二级及以上建筑师或结构工程师资格证书，中级及以上技术职称证书。</w:t>
      </w:r>
    </w:p>
    <w:p w14:paraId="10D9857A">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ind w:firstLine="480" w:firstLineChars="200"/>
        <w:jc w:val="both"/>
        <w:textAlignment w:val="auto"/>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kern w:val="2"/>
          <w:sz w:val="24"/>
          <w:szCs w:val="24"/>
          <w:lang w:val="en-US" w:eastAsia="zh-CN" w:bidi="ar-SA"/>
        </w:rPr>
        <w:t>3</w:t>
      </w:r>
      <w:r>
        <w:rPr>
          <w:rFonts w:hint="eastAsia" w:ascii="宋体" w:hAnsi="宋体" w:eastAsia="宋体" w:cs="Lucida Sans Unicode"/>
          <w:kern w:val="2"/>
          <w:sz w:val="24"/>
          <w:szCs w:val="24"/>
          <w:lang w:val="en-US" w:eastAsia="zh-CN" w:bidi="ar-SA"/>
        </w:rPr>
        <w:t>.</w:t>
      </w:r>
      <w:r>
        <w:rPr>
          <w:rFonts w:ascii="宋体" w:hAnsi="宋体" w:eastAsia="宋体" w:cs="宋体"/>
          <w:sz w:val="24"/>
          <w:szCs w:val="24"/>
        </w:rPr>
        <w:t>供应商认为需要提供的其他商务及技术材料</w:t>
      </w:r>
    </w:p>
    <w:p w14:paraId="408E2623">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both"/>
        <w:textAlignment w:val="auto"/>
        <w:rPr>
          <w:rFonts w:hint="eastAsia" w:ascii="宋体" w:hAnsi="宋体" w:eastAsia="宋体" w:cs="宋体"/>
          <w:b/>
          <w:bCs/>
          <w:color w:val="auto"/>
          <w:kern w:val="0"/>
          <w:sz w:val="30"/>
          <w:szCs w:val="30"/>
          <w:highlight w:val="none"/>
          <w:lang w:val="zh-CN" w:eastAsia="zh-CN" w:bidi="ar-SA"/>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E0CC91D-00BD-4EC0-8255-97E5494D2B59}"/>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4C28F2C5-DAFC-45E8-B438-B2EB5C885DD1}"/>
  </w:font>
  <w:font w:name="仿宋_GB2312">
    <w:panose1 w:val="02010609030101010101"/>
    <w:charset w:val="86"/>
    <w:family w:val="auto"/>
    <w:pitch w:val="default"/>
    <w:sig w:usb0="00000001" w:usb1="080E0000" w:usb2="00000000" w:usb3="00000000" w:csb0="00040000" w:csb1="00000000"/>
    <w:embedRegular r:id="rId3" w:fontKey="{E3CA877F-9310-44A0-A330-6BE3EDA38C4D}"/>
  </w:font>
  <w:font w:name="华文中宋">
    <w:panose1 w:val="02010600040101010101"/>
    <w:charset w:val="86"/>
    <w:family w:val="auto"/>
    <w:pitch w:val="default"/>
    <w:sig w:usb0="00000287" w:usb1="080F0000" w:usb2="00000000" w:usb3="00000000" w:csb0="0004009F" w:csb1="DFD70000"/>
    <w:embedRegular r:id="rId4" w:fontKey="{5942F58F-1743-4028-8013-E062F555C8DC}"/>
  </w:font>
  <w:font w:name="方正小标宋简体">
    <w:panose1 w:val="02000000000000000000"/>
    <w:charset w:val="86"/>
    <w:family w:val="auto"/>
    <w:pitch w:val="default"/>
    <w:sig w:usb0="00000001" w:usb1="08000000" w:usb2="00000000" w:usb3="00000000" w:csb0="00040000" w:csb1="00000000"/>
    <w:embedRegular r:id="rId5" w:fontKey="{F113FA06-AED5-4834-9B9F-3CCAD208769D}"/>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92B4FEC1-0938-47DC-9034-056599725703}"/>
  </w:font>
  <w:font w:name="Lucida Sans Unicode">
    <w:panose1 w:val="020B0602030504020204"/>
    <w:charset w:val="00"/>
    <w:family w:val="auto"/>
    <w:pitch w:val="default"/>
    <w:sig w:usb0="80001AFF" w:usb1="0000396B" w:usb2="00000000" w:usb3="00000000" w:csb0="200000BF" w:csb1="D7F70000"/>
    <w:embedRegular r:id="rId7" w:fontKey="{B966A7DD-C14D-4623-BAC5-1E777136F1EB}"/>
  </w:font>
  <w:font w:name="unset">
    <w:altName w:val="Segoe Print"/>
    <w:panose1 w:val="00000000000000000000"/>
    <w:charset w:val="00"/>
    <w:family w:val="auto"/>
    <w:pitch w:val="default"/>
    <w:sig w:usb0="00000000" w:usb1="00000000" w:usb2="00000000" w:usb3="00000000" w:csb0="00000000" w:csb1="00000000"/>
    <w:embedRegular r:id="rId8" w:fontKey="{163D72E0-BFC7-4479-B53C-33D90BAC2052}"/>
  </w:font>
  <w:font w:name="Segoe Print">
    <w:panose1 w:val="02000600000000000000"/>
    <w:charset w:val="00"/>
    <w:family w:val="auto"/>
    <w:pitch w:val="default"/>
    <w:sig w:usb0="0000028F" w:usb1="00000000" w:usb2="00000000" w:usb3="00000000" w:csb0="2000009F" w:csb1="4701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44923"/>
    <w:multiLevelType w:val="singleLevel"/>
    <w:tmpl w:val="97A44923"/>
    <w:lvl w:ilvl="0" w:tentative="0">
      <w:start w:val="1"/>
      <w:numFmt w:val="chineseCounting"/>
      <w:suff w:val="nothing"/>
      <w:lvlText w:val="%1、"/>
      <w:lvlJc w:val="left"/>
      <w:rPr>
        <w:rFonts w:hint="eastAsia"/>
      </w:rPr>
    </w:lvl>
  </w:abstractNum>
  <w:abstractNum w:abstractNumId="1">
    <w:nsid w:val="9835805F"/>
    <w:multiLevelType w:val="singleLevel"/>
    <w:tmpl w:val="9835805F"/>
    <w:lvl w:ilvl="0" w:tentative="0">
      <w:start w:val="1"/>
      <w:numFmt w:val="decimal"/>
      <w:lvlText w:val="%1."/>
      <w:lvlJc w:val="left"/>
      <w:pPr>
        <w:tabs>
          <w:tab w:val="left" w:pos="312"/>
        </w:tabs>
      </w:pPr>
    </w:lvl>
  </w:abstractNum>
  <w:abstractNum w:abstractNumId="2">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3">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5"/>
      <w:lvlText w:val="%1.%2"/>
      <w:lvlJc w:val="left"/>
      <w:pPr>
        <w:ind w:left="576" w:hanging="576"/>
      </w:pPr>
      <w:rPr>
        <w:rFonts w:ascii="宋体" w:hAnsi="宋体" w:eastAsia="宋体"/>
      </w:rPr>
    </w:lvl>
    <w:lvl w:ilvl="2" w:tentative="0">
      <w:start w:val="1"/>
      <w:numFmt w:val="decimal"/>
      <w:pStyle w:val="6"/>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7AE"/>
    <w:rsid w:val="01A73398"/>
    <w:rsid w:val="066D7577"/>
    <w:rsid w:val="09833D36"/>
    <w:rsid w:val="0C0A5C61"/>
    <w:rsid w:val="0D552BFF"/>
    <w:rsid w:val="12582577"/>
    <w:rsid w:val="16351E52"/>
    <w:rsid w:val="17BC5D5D"/>
    <w:rsid w:val="18B946B8"/>
    <w:rsid w:val="19FD4A34"/>
    <w:rsid w:val="29057462"/>
    <w:rsid w:val="2CF860C7"/>
    <w:rsid w:val="2F4D1154"/>
    <w:rsid w:val="3236787A"/>
    <w:rsid w:val="330B0306"/>
    <w:rsid w:val="374844EA"/>
    <w:rsid w:val="383E64EC"/>
    <w:rsid w:val="3A92231A"/>
    <w:rsid w:val="3DEE4511"/>
    <w:rsid w:val="443C7C87"/>
    <w:rsid w:val="46217985"/>
    <w:rsid w:val="4EAD7AD0"/>
    <w:rsid w:val="50622F2F"/>
    <w:rsid w:val="6075770C"/>
    <w:rsid w:val="629638B5"/>
    <w:rsid w:val="64025AD0"/>
    <w:rsid w:val="6578278E"/>
    <w:rsid w:val="65D04378"/>
    <w:rsid w:val="6E0077C5"/>
    <w:rsid w:val="746E5488"/>
    <w:rsid w:val="752718BC"/>
    <w:rsid w:val="754E2C4F"/>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6">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eastAsia="楷体_GB2312"/>
      <w:sz w:val="30"/>
      <w:szCs w:val="20"/>
    </w:rPr>
  </w:style>
  <w:style w:type="paragraph" w:styleId="3">
    <w:name w:val="Subtitle"/>
    <w:basedOn w:val="1"/>
    <w:next w:val="1"/>
    <w:qFormat/>
    <w:uiPriority w:val="0"/>
    <w:pPr>
      <w:spacing w:before="240" w:after="60" w:line="312" w:lineRule="auto"/>
      <w:jc w:val="center"/>
      <w:outlineLvl w:val="1"/>
    </w:pPr>
    <w:rPr>
      <w:b/>
      <w:bCs/>
      <w:kern w:val="28"/>
      <w:sz w:val="32"/>
      <w:szCs w:val="32"/>
    </w:rPr>
  </w:style>
  <w:style w:type="paragraph" w:styleId="7">
    <w:name w:val="table of authorities"/>
    <w:basedOn w:val="1"/>
    <w:next w:val="1"/>
    <w:unhideWhenUsed/>
    <w:qFormat/>
    <w:uiPriority w:val="99"/>
    <w:pPr>
      <w:ind w:left="420" w:leftChars="200"/>
    </w:pPr>
  </w:style>
  <w:style w:type="paragraph" w:styleId="8">
    <w:name w:val="Normal Indent"/>
    <w:basedOn w:val="1"/>
    <w:qFormat/>
    <w:uiPriority w:val="0"/>
    <w:pPr>
      <w:ind w:firstLine="420"/>
    </w:pPr>
    <w:rPr>
      <w:rFonts w:ascii="宋体"/>
      <w:kern w:val="0"/>
      <w:sz w:val="34"/>
      <w:szCs w:val="20"/>
    </w:rPr>
  </w:style>
  <w:style w:type="paragraph" w:styleId="9">
    <w:name w:val="annotation text"/>
    <w:basedOn w:val="1"/>
    <w:qFormat/>
    <w:uiPriority w:val="0"/>
    <w:pPr>
      <w:jc w:val="left"/>
    </w:p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Normal (Web)"/>
    <w:basedOn w:val="1"/>
    <w:qFormat/>
    <w:uiPriority w:val="0"/>
    <w:pPr>
      <w:spacing w:before="0" w:beforeAutospacing="1" w:after="0" w:afterAutospacing="1"/>
      <w:ind w:left="0" w:right="0"/>
      <w:jc w:val="left"/>
    </w:pPr>
    <w:rPr>
      <w:kern w:val="0"/>
      <w:sz w:val="24"/>
      <w:lang w:val="en-US" w:eastAsia="zh-CN"/>
    </w:rPr>
  </w:style>
  <w:style w:type="paragraph" w:styleId="16">
    <w:name w:val="Title"/>
    <w:basedOn w:val="1"/>
    <w:qFormat/>
    <w:uiPriority w:val="0"/>
    <w:pPr>
      <w:spacing w:before="240" w:after="60"/>
      <w:jc w:val="center"/>
      <w:outlineLvl w:val="0"/>
    </w:pPr>
    <w:rPr>
      <w:rFonts w:ascii="Cambria" w:hAnsi="Cambria"/>
      <w:b/>
      <w:bCs/>
      <w:sz w:val="32"/>
      <w:szCs w:val="32"/>
    </w:rPr>
  </w:style>
  <w:style w:type="paragraph" w:styleId="17">
    <w:name w:val="Body Text First Indent"/>
    <w:basedOn w:val="2"/>
    <w:next w:val="1"/>
    <w:qFormat/>
    <w:uiPriority w:val="0"/>
    <w:pPr>
      <w:ind w:firstLine="420"/>
    </w:pPr>
    <w:rPr>
      <w:szCs w:val="20"/>
    </w:rPr>
  </w:style>
  <w:style w:type="paragraph" w:styleId="18">
    <w:name w:val="Body Text First Indent 2"/>
    <w:basedOn w:val="10"/>
    <w:next w:val="1"/>
    <w:qFormat/>
    <w:uiPriority w:val="99"/>
    <w:pPr>
      <w:spacing w:line="480" w:lineRule="exact"/>
      <w:ind w:firstLine="42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5">
    <w:name w:val="公文样式正文"/>
    <w:basedOn w:val="24"/>
    <w:qFormat/>
    <w:uiPriority w:val="0"/>
    <w:pPr>
      <w:ind w:firstLine="640" w:firstLineChars="200"/>
    </w:pPr>
    <w:rPr>
      <w:rFonts w:ascii="仿宋_GB2312" w:hAnsi="仿宋_GB2312" w:eastAsia="仿宋_GB2312" w:cs="仿宋_GB2312"/>
      <w:sz w:val="32"/>
      <w:szCs w:val="32"/>
    </w:rPr>
  </w:style>
  <w:style w:type="paragraph" w:customStyle="1" w:styleId="26">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7">
    <w:name w:val="Table Paragraph"/>
    <w:basedOn w:val="1"/>
    <w:qFormat/>
    <w:uiPriority w:val="1"/>
  </w:style>
  <w:style w:type="paragraph" w:customStyle="1" w:styleId="28">
    <w:name w:val="_Style 19"/>
    <w:basedOn w:val="1"/>
    <w:next w:val="1"/>
    <w:qFormat/>
    <w:uiPriority w:val="34"/>
    <w:pPr>
      <w:ind w:firstLine="420" w:firstLineChars="200"/>
    </w:pPr>
    <w:rPr>
      <w:lang w:val="zh-CN"/>
    </w:rPr>
  </w:style>
  <w:style w:type="paragraph" w:customStyle="1" w:styleId="29">
    <w:name w:val="List Paragraph"/>
    <w:basedOn w:val="1"/>
    <w:unhideWhenUsed/>
    <w:qFormat/>
    <w:uiPriority w:val="99"/>
    <w:pPr>
      <w:ind w:firstLine="420" w:firstLineChars="200"/>
    </w:pPr>
  </w:style>
  <w:style w:type="paragraph" w:customStyle="1" w:styleId="30">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1">
    <w:name w:val="divcss5"/>
    <w:qFormat/>
    <w:uiPriority w:val="0"/>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21</Pages>
  <Words>6863</Words>
  <Characters>7158</Characters>
  <Lines>197</Lines>
  <Paragraphs>55</Paragraphs>
  <TotalTime>1</TotalTime>
  <ScaleCrop>false</ScaleCrop>
  <LinksUpToDate>false</LinksUpToDate>
  <CharactersWithSpaces>8173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春天里</cp:lastModifiedBy>
  <cp:lastPrinted>2026-01-29T02:20:00Z</cp:lastPrinted>
  <dcterms:modified xsi:type="dcterms:W3CDTF">2026-06-26T08:20:28Z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eyJoZGlkIjoiMTJkNDE5ZTYxN2Q5NjU0M2IyN2UxMWVlOTFhYWM1ZjYiLCJ1c2VySWQiOiI0MTc0Mzc2MjMifQ==</vt:lpwstr>
  </property>
</Properties>
</file>